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9ACC" w14:textId="77777777" w:rsidR="00723313" w:rsidRPr="00884CF0" w:rsidRDefault="00723313" w:rsidP="00D935A8">
      <w:pPr>
        <w:pStyle w:val="Heading2"/>
        <w:jc w:val="both"/>
        <w:rPr>
          <w:rStyle w:val="italik"/>
          <w:lang w:val="sr-Cyrl-RS"/>
        </w:rPr>
      </w:pPr>
      <w:bookmarkStart w:id="0" w:name="_GoBack"/>
      <w:bookmarkEnd w:id="0"/>
    </w:p>
    <w:p w14:paraId="1EB4E8B9" w14:textId="77777777" w:rsidR="00F17333" w:rsidRPr="00884CF0" w:rsidRDefault="00F17333" w:rsidP="00723313">
      <w:pPr>
        <w:spacing w:line="240" w:lineRule="auto"/>
        <w:ind w:firstLine="0"/>
        <w:jc w:val="center"/>
        <w:rPr>
          <w:rStyle w:val="italik"/>
          <w:sz w:val="48"/>
          <w:szCs w:val="48"/>
          <w:lang w:val="sr-Cyrl-RS"/>
        </w:rPr>
      </w:pPr>
    </w:p>
    <w:p w14:paraId="3D7B0060" w14:textId="1A769123" w:rsidR="00F17333" w:rsidRPr="004D7EA5" w:rsidRDefault="004D7EA5" w:rsidP="004D7EA5">
      <w:pPr>
        <w:spacing w:line="240" w:lineRule="auto"/>
        <w:ind w:firstLine="0"/>
        <w:jc w:val="right"/>
        <w:rPr>
          <w:rStyle w:val="italik"/>
          <w:sz w:val="48"/>
          <w:szCs w:val="48"/>
          <w:lang w:val="sr-Cyrl-RS"/>
        </w:rPr>
      </w:pPr>
      <w:r>
        <w:rPr>
          <w:rStyle w:val="italik"/>
          <w:sz w:val="48"/>
          <w:szCs w:val="48"/>
          <w:lang w:val="sr-Cyrl-RS"/>
        </w:rPr>
        <w:t>НАЦРТ</w:t>
      </w:r>
    </w:p>
    <w:p w14:paraId="116E8257" w14:textId="77777777" w:rsidR="00F17333" w:rsidRPr="00884CF0" w:rsidRDefault="00F17333" w:rsidP="00723313">
      <w:pPr>
        <w:spacing w:line="240" w:lineRule="auto"/>
        <w:ind w:firstLine="0"/>
        <w:jc w:val="center"/>
        <w:rPr>
          <w:rStyle w:val="italik"/>
          <w:sz w:val="48"/>
          <w:szCs w:val="48"/>
          <w:lang w:val="sr-Cyrl-RS"/>
        </w:rPr>
      </w:pPr>
    </w:p>
    <w:p w14:paraId="02D5F01D" w14:textId="77777777" w:rsidR="00F17333" w:rsidRPr="00884CF0" w:rsidRDefault="00F17333" w:rsidP="00723313">
      <w:pPr>
        <w:spacing w:line="240" w:lineRule="auto"/>
        <w:ind w:firstLine="0"/>
        <w:jc w:val="center"/>
        <w:rPr>
          <w:rStyle w:val="italik"/>
          <w:sz w:val="48"/>
          <w:szCs w:val="48"/>
          <w:lang w:val="sr-Cyrl-RS"/>
        </w:rPr>
      </w:pPr>
    </w:p>
    <w:p w14:paraId="348C0CA0" w14:textId="77777777" w:rsidR="00F17333" w:rsidRPr="00884CF0" w:rsidRDefault="00F17333" w:rsidP="00723313">
      <w:pPr>
        <w:spacing w:line="240" w:lineRule="auto"/>
        <w:ind w:firstLine="0"/>
        <w:jc w:val="center"/>
        <w:rPr>
          <w:rStyle w:val="italik"/>
          <w:sz w:val="48"/>
          <w:szCs w:val="48"/>
          <w:lang w:val="sr-Cyrl-RS"/>
        </w:rPr>
      </w:pPr>
    </w:p>
    <w:p w14:paraId="0A933E73" w14:textId="77777777" w:rsidR="00F17333" w:rsidRPr="00884CF0" w:rsidRDefault="00F17333" w:rsidP="00723313">
      <w:pPr>
        <w:spacing w:line="240" w:lineRule="auto"/>
        <w:ind w:firstLine="0"/>
        <w:jc w:val="center"/>
        <w:rPr>
          <w:rStyle w:val="italik"/>
          <w:sz w:val="48"/>
          <w:szCs w:val="48"/>
          <w:lang w:val="sr-Cyrl-RS"/>
        </w:rPr>
      </w:pPr>
    </w:p>
    <w:p w14:paraId="09A5CD43" w14:textId="7BCD35BB" w:rsidR="00F17333" w:rsidRPr="00884CF0" w:rsidRDefault="00F17333" w:rsidP="00723313">
      <w:pPr>
        <w:spacing w:line="240" w:lineRule="auto"/>
        <w:ind w:firstLine="0"/>
        <w:jc w:val="center"/>
        <w:rPr>
          <w:rStyle w:val="italik"/>
          <w:sz w:val="48"/>
          <w:szCs w:val="48"/>
          <w:lang w:val="sr-Cyrl-RS"/>
        </w:rPr>
      </w:pPr>
      <w:r w:rsidRPr="00884CF0">
        <w:rPr>
          <w:rStyle w:val="italik"/>
          <w:sz w:val="48"/>
          <w:szCs w:val="48"/>
          <w:lang w:val="sr-Cyrl-RS"/>
        </w:rPr>
        <w:t>МЕТОДОЛОШКИ ОКВИР ЕВАЛУАЦИЈЕ СИСТЕМА НАЦИОНАЛНОГ ОКВИРА КВАЛИФИКАЦИЈА У СРБИЈИ</w:t>
      </w:r>
    </w:p>
    <w:p w14:paraId="3FDBAEEB" w14:textId="77777777" w:rsidR="00F17333" w:rsidRPr="00884CF0" w:rsidRDefault="00F17333" w:rsidP="00723313">
      <w:pPr>
        <w:spacing w:line="240" w:lineRule="auto"/>
        <w:ind w:firstLine="0"/>
        <w:jc w:val="center"/>
        <w:rPr>
          <w:rStyle w:val="italik"/>
          <w:sz w:val="48"/>
          <w:szCs w:val="48"/>
          <w:lang w:val="sr-Cyrl-RS"/>
        </w:rPr>
      </w:pPr>
    </w:p>
    <w:p w14:paraId="435050CC" w14:textId="77777777" w:rsidR="00F17333" w:rsidRPr="00884CF0" w:rsidRDefault="00F17333" w:rsidP="00723313">
      <w:pPr>
        <w:spacing w:line="240" w:lineRule="auto"/>
        <w:ind w:firstLine="0"/>
        <w:jc w:val="center"/>
        <w:rPr>
          <w:rStyle w:val="italik"/>
          <w:sz w:val="48"/>
          <w:szCs w:val="48"/>
          <w:lang w:val="sr-Cyrl-RS"/>
        </w:rPr>
      </w:pPr>
    </w:p>
    <w:p w14:paraId="41794521" w14:textId="77777777" w:rsidR="00F17333" w:rsidRPr="00884CF0" w:rsidRDefault="00F17333" w:rsidP="00723313">
      <w:pPr>
        <w:spacing w:line="240" w:lineRule="auto"/>
        <w:ind w:firstLine="0"/>
        <w:jc w:val="center"/>
        <w:rPr>
          <w:rStyle w:val="italik"/>
          <w:sz w:val="48"/>
          <w:szCs w:val="48"/>
          <w:lang w:val="sr-Cyrl-RS"/>
        </w:rPr>
      </w:pPr>
    </w:p>
    <w:p w14:paraId="00D37858" w14:textId="77777777" w:rsidR="00F17333" w:rsidRPr="00884CF0" w:rsidRDefault="00F17333" w:rsidP="00723313">
      <w:pPr>
        <w:spacing w:line="240" w:lineRule="auto"/>
        <w:ind w:firstLine="0"/>
        <w:jc w:val="center"/>
        <w:rPr>
          <w:rStyle w:val="italik"/>
          <w:sz w:val="48"/>
          <w:szCs w:val="48"/>
          <w:lang w:val="sr-Cyrl-RS"/>
        </w:rPr>
      </w:pPr>
    </w:p>
    <w:p w14:paraId="1B1D3BF7" w14:textId="77777777" w:rsidR="00F17333" w:rsidRPr="00884CF0" w:rsidRDefault="00F17333" w:rsidP="00723313">
      <w:pPr>
        <w:spacing w:line="240" w:lineRule="auto"/>
        <w:ind w:firstLine="0"/>
        <w:jc w:val="center"/>
        <w:rPr>
          <w:rStyle w:val="italik"/>
          <w:sz w:val="48"/>
          <w:szCs w:val="48"/>
          <w:lang w:val="sr-Cyrl-RS"/>
        </w:rPr>
      </w:pPr>
    </w:p>
    <w:p w14:paraId="4431CA00" w14:textId="77777777" w:rsidR="00F17333" w:rsidRPr="00884CF0" w:rsidRDefault="00F17333" w:rsidP="00723313">
      <w:pPr>
        <w:spacing w:line="240" w:lineRule="auto"/>
        <w:ind w:firstLine="0"/>
        <w:jc w:val="center"/>
        <w:rPr>
          <w:rStyle w:val="italik"/>
          <w:sz w:val="48"/>
          <w:szCs w:val="48"/>
          <w:lang w:val="sr-Cyrl-RS"/>
        </w:rPr>
      </w:pPr>
    </w:p>
    <w:p w14:paraId="584AAFAB" w14:textId="77777777" w:rsidR="00F17333" w:rsidRPr="00884CF0" w:rsidRDefault="00F17333" w:rsidP="00723313">
      <w:pPr>
        <w:spacing w:line="240" w:lineRule="auto"/>
        <w:ind w:firstLine="0"/>
        <w:jc w:val="center"/>
        <w:rPr>
          <w:rStyle w:val="italik"/>
          <w:sz w:val="48"/>
          <w:szCs w:val="48"/>
          <w:lang w:val="sr-Cyrl-RS"/>
        </w:rPr>
      </w:pPr>
    </w:p>
    <w:p w14:paraId="1DA0DFA8" w14:textId="77777777" w:rsidR="00F17333" w:rsidRPr="00884CF0" w:rsidRDefault="00F17333" w:rsidP="00723313">
      <w:pPr>
        <w:spacing w:line="240" w:lineRule="auto"/>
        <w:ind w:firstLine="0"/>
        <w:jc w:val="center"/>
        <w:rPr>
          <w:rStyle w:val="italik"/>
          <w:sz w:val="48"/>
          <w:szCs w:val="48"/>
          <w:lang w:val="sr-Cyrl-RS"/>
        </w:rPr>
      </w:pPr>
    </w:p>
    <w:p w14:paraId="016AD483" w14:textId="77777777" w:rsidR="00F17333" w:rsidRPr="00884CF0" w:rsidRDefault="00F17333" w:rsidP="00723313">
      <w:pPr>
        <w:spacing w:line="240" w:lineRule="auto"/>
        <w:ind w:firstLine="0"/>
        <w:jc w:val="center"/>
        <w:rPr>
          <w:rStyle w:val="italik"/>
          <w:sz w:val="48"/>
          <w:szCs w:val="48"/>
          <w:lang w:val="sr-Cyrl-RS"/>
        </w:rPr>
      </w:pPr>
    </w:p>
    <w:p w14:paraId="0E6C503E" w14:textId="77777777" w:rsidR="00F17333" w:rsidRPr="00884CF0" w:rsidRDefault="00F17333" w:rsidP="00723313">
      <w:pPr>
        <w:spacing w:line="240" w:lineRule="auto"/>
        <w:ind w:firstLine="0"/>
        <w:jc w:val="center"/>
        <w:rPr>
          <w:rStyle w:val="italik"/>
          <w:sz w:val="48"/>
          <w:szCs w:val="48"/>
          <w:lang w:val="sr-Cyrl-RS"/>
        </w:rPr>
      </w:pPr>
    </w:p>
    <w:p w14:paraId="30600198" w14:textId="77777777" w:rsidR="00F17333" w:rsidRPr="00884CF0" w:rsidRDefault="00F17333" w:rsidP="00723313">
      <w:pPr>
        <w:spacing w:line="240" w:lineRule="auto"/>
        <w:ind w:firstLine="0"/>
        <w:jc w:val="center"/>
        <w:rPr>
          <w:rStyle w:val="italik"/>
          <w:sz w:val="48"/>
          <w:szCs w:val="48"/>
          <w:lang w:val="sr-Cyrl-RS"/>
        </w:rPr>
      </w:pPr>
    </w:p>
    <w:p w14:paraId="5BAE1B00" w14:textId="77777777" w:rsidR="00F17333" w:rsidRPr="00884CF0" w:rsidRDefault="00F17333" w:rsidP="00723313">
      <w:pPr>
        <w:spacing w:line="240" w:lineRule="auto"/>
        <w:ind w:firstLine="0"/>
        <w:jc w:val="center"/>
        <w:rPr>
          <w:rStyle w:val="italik"/>
          <w:sz w:val="48"/>
          <w:szCs w:val="48"/>
          <w:lang w:val="sr-Cyrl-RS"/>
        </w:rPr>
      </w:pPr>
    </w:p>
    <w:p w14:paraId="02E683D0" w14:textId="77777777" w:rsidR="00F17333" w:rsidRPr="00884CF0" w:rsidRDefault="00F17333" w:rsidP="00723313">
      <w:pPr>
        <w:spacing w:line="240" w:lineRule="auto"/>
        <w:ind w:firstLine="0"/>
        <w:jc w:val="center"/>
        <w:rPr>
          <w:rStyle w:val="italik"/>
          <w:sz w:val="48"/>
          <w:szCs w:val="48"/>
          <w:lang w:val="sr-Cyrl-RS"/>
        </w:rPr>
      </w:pPr>
    </w:p>
    <w:p w14:paraId="320555B4" w14:textId="77777777" w:rsidR="00F17333" w:rsidRPr="00884CF0" w:rsidRDefault="00F17333" w:rsidP="00723313">
      <w:pPr>
        <w:spacing w:line="240" w:lineRule="auto"/>
        <w:ind w:firstLine="0"/>
        <w:jc w:val="center"/>
        <w:rPr>
          <w:rStyle w:val="italik"/>
          <w:sz w:val="48"/>
          <w:szCs w:val="48"/>
          <w:lang w:val="sr-Cyrl-RS"/>
        </w:rPr>
      </w:pPr>
    </w:p>
    <w:p w14:paraId="31B68188" w14:textId="3285E417" w:rsidR="00A16774" w:rsidRPr="00884CF0" w:rsidRDefault="00F17333" w:rsidP="00A16774">
      <w:pPr>
        <w:spacing w:line="240" w:lineRule="auto"/>
        <w:ind w:firstLine="0"/>
        <w:jc w:val="center"/>
        <w:rPr>
          <w:rStyle w:val="italik"/>
          <w:rFonts w:eastAsiaTheme="majorEastAsia"/>
          <w:b/>
          <w:bCs/>
          <w:sz w:val="48"/>
          <w:szCs w:val="48"/>
          <w:lang w:val="sr-Cyrl-RS"/>
        </w:rPr>
      </w:pPr>
      <w:r w:rsidRPr="00884CF0">
        <w:rPr>
          <w:rStyle w:val="italik"/>
          <w:sz w:val="22"/>
          <w:szCs w:val="22"/>
          <w:lang w:val="sr-Cyrl-RS"/>
        </w:rPr>
        <w:t>Новембар 2022. године</w:t>
      </w:r>
      <w:r w:rsidR="00723313" w:rsidRPr="00884CF0">
        <w:rPr>
          <w:rStyle w:val="italik"/>
          <w:sz w:val="48"/>
          <w:szCs w:val="48"/>
          <w:lang w:val="sr-Cyrl-RS"/>
        </w:rPr>
        <w:br w:type="page"/>
      </w:r>
    </w:p>
    <w:p w14:paraId="1E41C9FC" w14:textId="77777777" w:rsidR="007620BB" w:rsidRDefault="007620BB" w:rsidP="007620BB">
      <w:pPr>
        <w:pStyle w:val="Heading1"/>
        <w:rPr>
          <w:rStyle w:val="italik"/>
          <w:szCs w:val="24"/>
          <w:lang w:val="sr-Cyrl-RS"/>
        </w:rPr>
        <w:sectPr w:rsidR="007620BB" w:rsidSect="007F2985">
          <w:headerReference w:type="default" r:id="rId8"/>
          <w:pgSz w:w="11906" w:h="16838" w:code="9"/>
          <w:pgMar w:top="1418" w:right="1418" w:bottom="1418" w:left="1418" w:header="720" w:footer="720" w:gutter="0"/>
          <w:cols w:space="720"/>
          <w:docGrid w:linePitch="360"/>
        </w:sectPr>
      </w:pPr>
    </w:p>
    <w:p w14:paraId="0EC44B61" w14:textId="4A7698A3" w:rsidR="007620BB" w:rsidRPr="007620BB" w:rsidRDefault="007620BB" w:rsidP="007620BB">
      <w:pPr>
        <w:ind w:firstLine="0"/>
        <w:rPr>
          <w:rStyle w:val="italik"/>
          <w:b/>
          <w:bCs/>
          <w:sz w:val="28"/>
          <w:szCs w:val="28"/>
          <w:lang w:val="sr-Cyrl-RS"/>
        </w:rPr>
      </w:pPr>
      <w:r w:rsidRPr="007620BB">
        <w:rPr>
          <w:rStyle w:val="italik"/>
          <w:b/>
          <w:bCs/>
          <w:sz w:val="28"/>
          <w:szCs w:val="28"/>
          <w:lang w:val="sr-Cyrl-RS"/>
        </w:rPr>
        <w:lastRenderedPageBreak/>
        <w:t>Садржај</w:t>
      </w:r>
    </w:p>
    <w:p w14:paraId="42CA7204" w14:textId="77777777" w:rsidR="007620BB" w:rsidRPr="007620BB" w:rsidRDefault="007620BB" w:rsidP="007620BB">
      <w:pPr>
        <w:ind w:firstLine="0"/>
        <w:rPr>
          <w:rStyle w:val="italik"/>
          <w:b/>
          <w:bCs/>
          <w:szCs w:val="24"/>
          <w:lang w:val="sr-Cyrl-RS"/>
        </w:rPr>
      </w:pPr>
    </w:p>
    <w:p w14:paraId="334AB476" w14:textId="00F0A760" w:rsidR="00E820CE" w:rsidRDefault="007620BB" w:rsidP="00E820CE">
      <w:pPr>
        <w:pStyle w:val="TOC1"/>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r>
        <w:rPr>
          <w:lang w:val="sr-Cyrl-RS"/>
        </w:rPr>
        <w:fldChar w:fldCharType="begin"/>
      </w:r>
      <w:r>
        <w:rPr>
          <w:lang w:val="sr-Cyrl-RS"/>
        </w:rPr>
        <w:instrText xml:space="preserve"> TOC \o "1-3" \h \z \u </w:instrText>
      </w:r>
      <w:r>
        <w:rPr>
          <w:lang w:val="sr-Cyrl-RS"/>
        </w:rPr>
        <w:fldChar w:fldCharType="separate"/>
      </w:r>
      <w:hyperlink w:anchor="_Toc119880815" w:history="1">
        <w:r w:rsidR="00E820CE" w:rsidRPr="00790AE8">
          <w:rPr>
            <w:rStyle w:val="Hyperlink"/>
            <w:noProof/>
            <w:lang w:val="sr-Cyrl-RS"/>
          </w:rPr>
          <w:t>Скраћенице</w:t>
        </w:r>
        <w:r w:rsidR="00E820CE">
          <w:rPr>
            <w:noProof/>
            <w:webHidden/>
          </w:rPr>
          <w:tab/>
        </w:r>
        <w:r w:rsidR="00E820CE">
          <w:rPr>
            <w:noProof/>
            <w:webHidden/>
          </w:rPr>
          <w:fldChar w:fldCharType="begin"/>
        </w:r>
        <w:r w:rsidR="00E820CE">
          <w:rPr>
            <w:noProof/>
            <w:webHidden/>
          </w:rPr>
          <w:instrText xml:space="preserve"> PAGEREF _Toc119880815 \h </w:instrText>
        </w:r>
        <w:r w:rsidR="00E820CE">
          <w:rPr>
            <w:noProof/>
            <w:webHidden/>
          </w:rPr>
        </w:r>
        <w:r w:rsidR="00E820CE">
          <w:rPr>
            <w:noProof/>
            <w:webHidden/>
          </w:rPr>
          <w:fldChar w:fldCharType="separate"/>
        </w:r>
        <w:r w:rsidR="00E820CE">
          <w:rPr>
            <w:noProof/>
            <w:webHidden/>
          </w:rPr>
          <w:t>1</w:t>
        </w:r>
        <w:r w:rsidR="00E820CE">
          <w:rPr>
            <w:noProof/>
            <w:webHidden/>
          </w:rPr>
          <w:fldChar w:fldCharType="end"/>
        </w:r>
      </w:hyperlink>
    </w:p>
    <w:p w14:paraId="53F9E12B" w14:textId="4E915562" w:rsidR="00E820CE" w:rsidRDefault="00D76DF0" w:rsidP="00E820CE">
      <w:pPr>
        <w:pStyle w:val="TOC1"/>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16" w:history="1">
        <w:r w:rsidR="00E820CE" w:rsidRPr="00790AE8">
          <w:rPr>
            <w:rStyle w:val="Hyperlink"/>
            <w:noProof/>
            <w:lang w:val="sr-Cyrl-RS"/>
          </w:rPr>
          <w:t>Увод и истраживачки контекст</w:t>
        </w:r>
        <w:r w:rsidR="00E820CE">
          <w:rPr>
            <w:noProof/>
            <w:webHidden/>
          </w:rPr>
          <w:tab/>
        </w:r>
        <w:r w:rsidR="00E820CE">
          <w:rPr>
            <w:noProof/>
            <w:webHidden/>
          </w:rPr>
          <w:fldChar w:fldCharType="begin"/>
        </w:r>
        <w:r w:rsidR="00E820CE">
          <w:rPr>
            <w:noProof/>
            <w:webHidden/>
          </w:rPr>
          <w:instrText xml:space="preserve"> PAGEREF _Toc119880816 \h </w:instrText>
        </w:r>
        <w:r w:rsidR="00E820CE">
          <w:rPr>
            <w:noProof/>
            <w:webHidden/>
          </w:rPr>
        </w:r>
        <w:r w:rsidR="00E820CE">
          <w:rPr>
            <w:noProof/>
            <w:webHidden/>
          </w:rPr>
          <w:fldChar w:fldCharType="separate"/>
        </w:r>
        <w:r w:rsidR="00E820CE">
          <w:rPr>
            <w:noProof/>
            <w:webHidden/>
          </w:rPr>
          <w:t>2</w:t>
        </w:r>
        <w:r w:rsidR="00E820CE">
          <w:rPr>
            <w:noProof/>
            <w:webHidden/>
          </w:rPr>
          <w:fldChar w:fldCharType="end"/>
        </w:r>
      </w:hyperlink>
    </w:p>
    <w:p w14:paraId="34400158" w14:textId="594754B9"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17" w:history="1">
        <w:r w:rsidR="00E820CE" w:rsidRPr="00790AE8">
          <w:rPr>
            <w:rStyle w:val="Hyperlink"/>
            <w:noProof/>
            <w:lang w:val="sr-Cyrl-RS"/>
          </w:rPr>
          <w:t>Развој НОКС-а</w:t>
        </w:r>
        <w:r w:rsidR="00E820CE">
          <w:rPr>
            <w:noProof/>
            <w:webHidden/>
          </w:rPr>
          <w:tab/>
        </w:r>
        <w:r w:rsidR="00E820CE">
          <w:rPr>
            <w:noProof/>
            <w:webHidden/>
          </w:rPr>
          <w:fldChar w:fldCharType="begin"/>
        </w:r>
        <w:r w:rsidR="00E820CE">
          <w:rPr>
            <w:noProof/>
            <w:webHidden/>
          </w:rPr>
          <w:instrText xml:space="preserve"> PAGEREF _Toc119880817 \h </w:instrText>
        </w:r>
        <w:r w:rsidR="00E820CE">
          <w:rPr>
            <w:noProof/>
            <w:webHidden/>
          </w:rPr>
        </w:r>
        <w:r w:rsidR="00E820CE">
          <w:rPr>
            <w:noProof/>
            <w:webHidden/>
          </w:rPr>
          <w:fldChar w:fldCharType="separate"/>
        </w:r>
        <w:r w:rsidR="00E820CE">
          <w:rPr>
            <w:noProof/>
            <w:webHidden/>
          </w:rPr>
          <w:t>2</w:t>
        </w:r>
        <w:r w:rsidR="00E820CE">
          <w:rPr>
            <w:noProof/>
            <w:webHidden/>
          </w:rPr>
          <w:fldChar w:fldCharType="end"/>
        </w:r>
      </w:hyperlink>
    </w:p>
    <w:p w14:paraId="168054D4" w14:textId="7FE1B6C5"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18" w:history="1">
        <w:r w:rsidR="00E820CE" w:rsidRPr="00790AE8">
          <w:rPr>
            <w:rStyle w:val="Hyperlink"/>
            <w:noProof/>
            <w:lang w:val="sr-Cyrl-RS"/>
          </w:rPr>
          <w:t>Дефиниција и опис НОКС-а</w:t>
        </w:r>
        <w:r w:rsidR="00E820CE">
          <w:rPr>
            <w:noProof/>
            <w:webHidden/>
          </w:rPr>
          <w:tab/>
        </w:r>
        <w:r w:rsidR="00E820CE">
          <w:rPr>
            <w:noProof/>
            <w:webHidden/>
          </w:rPr>
          <w:fldChar w:fldCharType="begin"/>
        </w:r>
        <w:r w:rsidR="00E820CE">
          <w:rPr>
            <w:noProof/>
            <w:webHidden/>
          </w:rPr>
          <w:instrText xml:space="preserve"> PAGEREF _Toc119880818 \h </w:instrText>
        </w:r>
        <w:r w:rsidR="00E820CE">
          <w:rPr>
            <w:noProof/>
            <w:webHidden/>
          </w:rPr>
        </w:r>
        <w:r w:rsidR="00E820CE">
          <w:rPr>
            <w:noProof/>
            <w:webHidden/>
          </w:rPr>
          <w:fldChar w:fldCharType="separate"/>
        </w:r>
        <w:r w:rsidR="00E820CE">
          <w:rPr>
            <w:noProof/>
            <w:webHidden/>
          </w:rPr>
          <w:t>3</w:t>
        </w:r>
        <w:r w:rsidR="00E820CE">
          <w:rPr>
            <w:noProof/>
            <w:webHidden/>
          </w:rPr>
          <w:fldChar w:fldCharType="end"/>
        </w:r>
      </w:hyperlink>
    </w:p>
    <w:p w14:paraId="544303E9" w14:textId="4CDB3B9A"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19" w:history="1">
        <w:r w:rsidR="00E820CE" w:rsidRPr="00790AE8">
          <w:rPr>
            <w:rStyle w:val="Hyperlink"/>
            <w:noProof/>
            <w:lang w:val="sr-Cyrl-RS"/>
          </w:rPr>
          <w:t>Заинтересоване стране, институције, организације и тела</w:t>
        </w:r>
        <w:r w:rsidR="00E820CE">
          <w:rPr>
            <w:noProof/>
            <w:webHidden/>
          </w:rPr>
          <w:tab/>
        </w:r>
        <w:r w:rsidR="00E820CE">
          <w:rPr>
            <w:noProof/>
            <w:webHidden/>
          </w:rPr>
          <w:fldChar w:fldCharType="begin"/>
        </w:r>
        <w:r w:rsidR="00E820CE">
          <w:rPr>
            <w:noProof/>
            <w:webHidden/>
          </w:rPr>
          <w:instrText xml:space="preserve"> PAGEREF _Toc119880819 \h </w:instrText>
        </w:r>
        <w:r w:rsidR="00E820CE">
          <w:rPr>
            <w:noProof/>
            <w:webHidden/>
          </w:rPr>
        </w:r>
        <w:r w:rsidR="00E820CE">
          <w:rPr>
            <w:noProof/>
            <w:webHidden/>
          </w:rPr>
          <w:fldChar w:fldCharType="separate"/>
        </w:r>
        <w:r w:rsidR="00E820CE">
          <w:rPr>
            <w:noProof/>
            <w:webHidden/>
          </w:rPr>
          <w:t>7</w:t>
        </w:r>
        <w:r w:rsidR="00E820CE">
          <w:rPr>
            <w:noProof/>
            <w:webHidden/>
          </w:rPr>
          <w:fldChar w:fldCharType="end"/>
        </w:r>
      </w:hyperlink>
    </w:p>
    <w:p w14:paraId="29F9D2A5" w14:textId="49496799" w:rsidR="00E820CE" w:rsidRDefault="00D76DF0" w:rsidP="00E820CE">
      <w:pPr>
        <w:pStyle w:val="TOC1"/>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0" w:history="1">
        <w:r w:rsidR="00E820CE" w:rsidRPr="00790AE8">
          <w:rPr>
            <w:rStyle w:val="Hyperlink"/>
            <w:noProof/>
            <w:lang w:val="sr-Cyrl-RS"/>
          </w:rPr>
          <w:t>Методолошки оквир евалуације НОКС-а</w:t>
        </w:r>
        <w:r w:rsidR="00E820CE">
          <w:rPr>
            <w:noProof/>
            <w:webHidden/>
          </w:rPr>
          <w:tab/>
        </w:r>
        <w:r w:rsidR="00E820CE">
          <w:rPr>
            <w:noProof/>
            <w:webHidden/>
          </w:rPr>
          <w:fldChar w:fldCharType="begin"/>
        </w:r>
        <w:r w:rsidR="00E820CE">
          <w:rPr>
            <w:noProof/>
            <w:webHidden/>
          </w:rPr>
          <w:instrText xml:space="preserve"> PAGEREF _Toc119880820 \h </w:instrText>
        </w:r>
        <w:r w:rsidR="00E820CE">
          <w:rPr>
            <w:noProof/>
            <w:webHidden/>
          </w:rPr>
        </w:r>
        <w:r w:rsidR="00E820CE">
          <w:rPr>
            <w:noProof/>
            <w:webHidden/>
          </w:rPr>
          <w:fldChar w:fldCharType="separate"/>
        </w:r>
        <w:r w:rsidR="00E820CE">
          <w:rPr>
            <w:noProof/>
            <w:webHidden/>
          </w:rPr>
          <w:t>13</w:t>
        </w:r>
        <w:r w:rsidR="00E820CE">
          <w:rPr>
            <w:noProof/>
            <w:webHidden/>
          </w:rPr>
          <w:fldChar w:fldCharType="end"/>
        </w:r>
      </w:hyperlink>
    </w:p>
    <w:p w14:paraId="7012C4FA" w14:textId="3DC4CE2A"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1" w:history="1">
        <w:r w:rsidR="00E820CE" w:rsidRPr="00790AE8">
          <w:rPr>
            <w:rStyle w:val="Hyperlink"/>
            <w:noProof/>
            <w:lang w:val="sr-Cyrl-RS"/>
          </w:rPr>
          <w:t>Логика интервенције и циљеви јавне политике</w:t>
        </w:r>
        <w:r w:rsidR="00E820CE">
          <w:rPr>
            <w:noProof/>
            <w:webHidden/>
          </w:rPr>
          <w:tab/>
        </w:r>
        <w:r w:rsidR="00E820CE">
          <w:rPr>
            <w:noProof/>
            <w:webHidden/>
          </w:rPr>
          <w:fldChar w:fldCharType="begin"/>
        </w:r>
        <w:r w:rsidR="00E820CE">
          <w:rPr>
            <w:noProof/>
            <w:webHidden/>
          </w:rPr>
          <w:instrText xml:space="preserve"> PAGEREF _Toc119880821 \h </w:instrText>
        </w:r>
        <w:r w:rsidR="00E820CE">
          <w:rPr>
            <w:noProof/>
            <w:webHidden/>
          </w:rPr>
        </w:r>
        <w:r w:rsidR="00E820CE">
          <w:rPr>
            <w:noProof/>
            <w:webHidden/>
          </w:rPr>
          <w:fldChar w:fldCharType="separate"/>
        </w:r>
        <w:r w:rsidR="00E820CE">
          <w:rPr>
            <w:noProof/>
            <w:webHidden/>
          </w:rPr>
          <w:t>14</w:t>
        </w:r>
        <w:r w:rsidR="00E820CE">
          <w:rPr>
            <w:noProof/>
            <w:webHidden/>
          </w:rPr>
          <w:fldChar w:fldCharType="end"/>
        </w:r>
      </w:hyperlink>
    </w:p>
    <w:p w14:paraId="1B1B9E23" w14:textId="581423DF"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2" w:history="1">
        <w:r w:rsidR="00E820CE" w:rsidRPr="00790AE8">
          <w:rPr>
            <w:rStyle w:val="Hyperlink"/>
            <w:noProof/>
            <w:lang w:val="sr-Cyrl-RS"/>
          </w:rPr>
          <w:t>Корисници и циљеви евалуације</w:t>
        </w:r>
        <w:r w:rsidR="00E820CE">
          <w:rPr>
            <w:noProof/>
            <w:webHidden/>
          </w:rPr>
          <w:tab/>
        </w:r>
        <w:r w:rsidR="00E820CE">
          <w:rPr>
            <w:noProof/>
            <w:webHidden/>
          </w:rPr>
          <w:fldChar w:fldCharType="begin"/>
        </w:r>
        <w:r w:rsidR="00E820CE">
          <w:rPr>
            <w:noProof/>
            <w:webHidden/>
          </w:rPr>
          <w:instrText xml:space="preserve"> PAGEREF _Toc119880822 \h </w:instrText>
        </w:r>
        <w:r w:rsidR="00E820CE">
          <w:rPr>
            <w:noProof/>
            <w:webHidden/>
          </w:rPr>
        </w:r>
        <w:r w:rsidR="00E820CE">
          <w:rPr>
            <w:noProof/>
            <w:webHidden/>
          </w:rPr>
          <w:fldChar w:fldCharType="separate"/>
        </w:r>
        <w:r w:rsidR="00E820CE">
          <w:rPr>
            <w:noProof/>
            <w:webHidden/>
          </w:rPr>
          <w:t>16</w:t>
        </w:r>
        <w:r w:rsidR="00E820CE">
          <w:rPr>
            <w:noProof/>
            <w:webHidden/>
          </w:rPr>
          <w:fldChar w:fldCharType="end"/>
        </w:r>
      </w:hyperlink>
    </w:p>
    <w:p w14:paraId="0D8E6D2D" w14:textId="195E98E2"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3" w:history="1">
        <w:r w:rsidR="00E820CE" w:rsidRPr="00790AE8">
          <w:rPr>
            <w:rStyle w:val="Hyperlink"/>
            <w:noProof/>
            <w:lang w:val="sr-Cyrl-RS"/>
          </w:rPr>
          <w:t>Евалуативни критеријуми и питања</w:t>
        </w:r>
        <w:r w:rsidR="00E820CE">
          <w:rPr>
            <w:noProof/>
            <w:webHidden/>
          </w:rPr>
          <w:tab/>
        </w:r>
        <w:r w:rsidR="00E820CE">
          <w:rPr>
            <w:noProof/>
            <w:webHidden/>
          </w:rPr>
          <w:fldChar w:fldCharType="begin"/>
        </w:r>
        <w:r w:rsidR="00E820CE">
          <w:rPr>
            <w:noProof/>
            <w:webHidden/>
          </w:rPr>
          <w:instrText xml:space="preserve"> PAGEREF _Toc119880823 \h </w:instrText>
        </w:r>
        <w:r w:rsidR="00E820CE">
          <w:rPr>
            <w:noProof/>
            <w:webHidden/>
          </w:rPr>
        </w:r>
        <w:r w:rsidR="00E820CE">
          <w:rPr>
            <w:noProof/>
            <w:webHidden/>
          </w:rPr>
          <w:fldChar w:fldCharType="separate"/>
        </w:r>
        <w:r w:rsidR="00E820CE">
          <w:rPr>
            <w:noProof/>
            <w:webHidden/>
          </w:rPr>
          <w:t>16</w:t>
        </w:r>
        <w:r w:rsidR="00E820CE">
          <w:rPr>
            <w:noProof/>
            <w:webHidden/>
          </w:rPr>
          <w:fldChar w:fldCharType="end"/>
        </w:r>
      </w:hyperlink>
    </w:p>
    <w:p w14:paraId="2BFEFD43" w14:textId="5D4B3FF4" w:rsidR="00E820CE" w:rsidRDefault="00D76DF0" w:rsidP="00E820CE">
      <w:pPr>
        <w:pStyle w:val="TOC3"/>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4" w:history="1">
        <w:r w:rsidR="00E820CE" w:rsidRPr="00790AE8">
          <w:rPr>
            <w:rStyle w:val="Hyperlink"/>
            <w:noProof/>
            <w:lang w:val="sr-Cyrl-RS"/>
          </w:rPr>
          <w:t>Релевантност</w:t>
        </w:r>
        <w:r w:rsidR="00E820CE">
          <w:rPr>
            <w:noProof/>
            <w:webHidden/>
          </w:rPr>
          <w:tab/>
        </w:r>
        <w:r w:rsidR="00E820CE">
          <w:rPr>
            <w:noProof/>
            <w:webHidden/>
          </w:rPr>
          <w:fldChar w:fldCharType="begin"/>
        </w:r>
        <w:r w:rsidR="00E820CE">
          <w:rPr>
            <w:noProof/>
            <w:webHidden/>
          </w:rPr>
          <w:instrText xml:space="preserve"> PAGEREF _Toc119880824 \h </w:instrText>
        </w:r>
        <w:r w:rsidR="00E820CE">
          <w:rPr>
            <w:noProof/>
            <w:webHidden/>
          </w:rPr>
        </w:r>
        <w:r w:rsidR="00E820CE">
          <w:rPr>
            <w:noProof/>
            <w:webHidden/>
          </w:rPr>
          <w:fldChar w:fldCharType="separate"/>
        </w:r>
        <w:r w:rsidR="00E820CE">
          <w:rPr>
            <w:noProof/>
            <w:webHidden/>
          </w:rPr>
          <w:t>18</w:t>
        </w:r>
        <w:r w:rsidR="00E820CE">
          <w:rPr>
            <w:noProof/>
            <w:webHidden/>
          </w:rPr>
          <w:fldChar w:fldCharType="end"/>
        </w:r>
      </w:hyperlink>
    </w:p>
    <w:p w14:paraId="7046C9BB" w14:textId="6514E5C7" w:rsidR="00E820CE" w:rsidRDefault="00D76DF0" w:rsidP="00E820CE">
      <w:pPr>
        <w:pStyle w:val="TOC3"/>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5" w:history="1">
        <w:r w:rsidR="00E820CE" w:rsidRPr="00790AE8">
          <w:rPr>
            <w:rStyle w:val="Hyperlink"/>
            <w:noProof/>
            <w:lang w:val="sr-Cyrl-RS"/>
          </w:rPr>
          <w:t>Ефективност</w:t>
        </w:r>
        <w:r w:rsidR="00E820CE">
          <w:rPr>
            <w:noProof/>
            <w:webHidden/>
          </w:rPr>
          <w:tab/>
        </w:r>
        <w:r w:rsidR="00E820CE">
          <w:rPr>
            <w:noProof/>
            <w:webHidden/>
          </w:rPr>
          <w:fldChar w:fldCharType="begin"/>
        </w:r>
        <w:r w:rsidR="00E820CE">
          <w:rPr>
            <w:noProof/>
            <w:webHidden/>
          </w:rPr>
          <w:instrText xml:space="preserve"> PAGEREF _Toc119880825 \h </w:instrText>
        </w:r>
        <w:r w:rsidR="00E820CE">
          <w:rPr>
            <w:noProof/>
            <w:webHidden/>
          </w:rPr>
        </w:r>
        <w:r w:rsidR="00E820CE">
          <w:rPr>
            <w:noProof/>
            <w:webHidden/>
          </w:rPr>
          <w:fldChar w:fldCharType="separate"/>
        </w:r>
        <w:r w:rsidR="00E820CE">
          <w:rPr>
            <w:noProof/>
            <w:webHidden/>
          </w:rPr>
          <w:t>19</w:t>
        </w:r>
        <w:r w:rsidR="00E820CE">
          <w:rPr>
            <w:noProof/>
            <w:webHidden/>
          </w:rPr>
          <w:fldChar w:fldCharType="end"/>
        </w:r>
      </w:hyperlink>
    </w:p>
    <w:p w14:paraId="66B5F554" w14:textId="435FAF2E" w:rsidR="00E820CE" w:rsidRDefault="00D76DF0" w:rsidP="00E820CE">
      <w:pPr>
        <w:pStyle w:val="TOC3"/>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6" w:history="1">
        <w:r w:rsidR="00E820CE" w:rsidRPr="00790AE8">
          <w:rPr>
            <w:rStyle w:val="Hyperlink"/>
            <w:noProof/>
            <w:lang w:val="sr-Cyrl-RS"/>
          </w:rPr>
          <w:t>Ефикасност</w:t>
        </w:r>
        <w:r w:rsidR="00E820CE">
          <w:rPr>
            <w:noProof/>
            <w:webHidden/>
          </w:rPr>
          <w:tab/>
        </w:r>
        <w:r w:rsidR="00E820CE">
          <w:rPr>
            <w:noProof/>
            <w:webHidden/>
          </w:rPr>
          <w:fldChar w:fldCharType="begin"/>
        </w:r>
        <w:r w:rsidR="00E820CE">
          <w:rPr>
            <w:noProof/>
            <w:webHidden/>
          </w:rPr>
          <w:instrText xml:space="preserve"> PAGEREF _Toc119880826 \h </w:instrText>
        </w:r>
        <w:r w:rsidR="00E820CE">
          <w:rPr>
            <w:noProof/>
            <w:webHidden/>
          </w:rPr>
        </w:r>
        <w:r w:rsidR="00E820CE">
          <w:rPr>
            <w:noProof/>
            <w:webHidden/>
          </w:rPr>
          <w:fldChar w:fldCharType="separate"/>
        </w:r>
        <w:r w:rsidR="00E820CE">
          <w:rPr>
            <w:noProof/>
            <w:webHidden/>
          </w:rPr>
          <w:t>25</w:t>
        </w:r>
        <w:r w:rsidR="00E820CE">
          <w:rPr>
            <w:noProof/>
            <w:webHidden/>
          </w:rPr>
          <w:fldChar w:fldCharType="end"/>
        </w:r>
      </w:hyperlink>
    </w:p>
    <w:p w14:paraId="6D919505" w14:textId="2781E567" w:rsidR="00E820CE" w:rsidRDefault="00D76DF0" w:rsidP="00E820CE">
      <w:pPr>
        <w:pStyle w:val="TOC3"/>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7" w:history="1">
        <w:r w:rsidR="00E820CE" w:rsidRPr="00790AE8">
          <w:rPr>
            <w:rStyle w:val="Hyperlink"/>
            <w:noProof/>
            <w:lang w:val="sr-Cyrl-RS"/>
          </w:rPr>
          <w:t>Утицај</w:t>
        </w:r>
        <w:r w:rsidR="00E820CE">
          <w:rPr>
            <w:noProof/>
            <w:webHidden/>
          </w:rPr>
          <w:tab/>
        </w:r>
        <w:r w:rsidR="00E820CE">
          <w:rPr>
            <w:noProof/>
            <w:webHidden/>
          </w:rPr>
          <w:fldChar w:fldCharType="begin"/>
        </w:r>
        <w:r w:rsidR="00E820CE">
          <w:rPr>
            <w:noProof/>
            <w:webHidden/>
          </w:rPr>
          <w:instrText xml:space="preserve"> PAGEREF _Toc119880827 \h </w:instrText>
        </w:r>
        <w:r w:rsidR="00E820CE">
          <w:rPr>
            <w:noProof/>
            <w:webHidden/>
          </w:rPr>
        </w:r>
        <w:r w:rsidR="00E820CE">
          <w:rPr>
            <w:noProof/>
            <w:webHidden/>
          </w:rPr>
          <w:fldChar w:fldCharType="separate"/>
        </w:r>
        <w:r w:rsidR="00E820CE">
          <w:rPr>
            <w:noProof/>
            <w:webHidden/>
          </w:rPr>
          <w:t>26</w:t>
        </w:r>
        <w:r w:rsidR="00E820CE">
          <w:rPr>
            <w:noProof/>
            <w:webHidden/>
          </w:rPr>
          <w:fldChar w:fldCharType="end"/>
        </w:r>
      </w:hyperlink>
    </w:p>
    <w:p w14:paraId="050EC42D" w14:textId="46561895" w:rsidR="00E820CE" w:rsidRDefault="00D76DF0" w:rsidP="00E820CE">
      <w:pPr>
        <w:pStyle w:val="TOC3"/>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8" w:history="1">
        <w:r w:rsidR="00E820CE" w:rsidRPr="00790AE8">
          <w:rPr>
            <w:rStyle w:val="Hyperlink"/>
            <w:noProof/>
            <w:lang w:val="sr-Cyrl-RS"/>
          </w:rPr>
          <w:t>Одрживост</w:t>
        </w:r>
        <w:r w:rsidR="00E820CE">
          <w:rPr>
            <w:noProof/>
            <w:webHidden/>
          </w:rPr>
          <w:tab/>
        </w:r>
        <w:r w:rsidR="00E820CE">
          <w:rPr>
            <w:noProof/>
            <w:webHidden/>
          </w:rPr>
          <w:fldChar w:fldCharType="begin"/>
        </w:r>
        <w:r w:rsidR="00E820CE">
          <w:rPr>
            <w:noProof/>
            <w:webHidden/>
          </w:rPr>
          <w:instrText xml:space="preserve"> PAGEREF _Toc119880828 \h </w:instrText>
        </w:r>
        <w:r w:rsidR="00E820CE">
          <w:rPr>
            <w:noProof/>
            <w:webHidden/>
          </w:rPr>
        </w:r>
        <w:r w:rsidR="00E820CE">
          <w:rPr>
            <w:noProof/>
            <w:webHidden/>
          </w:rPr>
          <w:fldChar w:fldCharType="separate"/>
        </w:r>
        <w:r w:rsidR="00E820CE">
          <w:rPr>
            <w:noProof/>
            <w:webHidden/>
          </w:rPr>
          <w:t>27</w:t>
        </w:r>
        <w:r w:rsidR="00E820CE">
          <w:rPr>
            <w:noProof/>
            <w:webHidden/>
          </w:rPr>
          <w:fldChar w:fldCharType="end"/>
        </w:r>
      </w:hyperlink>
    </w:p>
    <w:p w14:paraId="2288A06E" w14:textId="48FD2329"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29" w:history="1">
        <w:r w:rsidR="00E820CE" w:rsidRPr="00790AE8">
          <w:rPr>
            <w:rStyle w:val="Hyperlink"/>
            <w:noProof/>
            <w:lang w:val="sr-Cyrl-RS"/>
          </w:rPr>
          <w:t>Подаци који ће бити коришћени</w:t>
        </w:r>
        <w:r w:rsidR="00E820CE">
          <w:rPr>
            <w:noProof/>
            <w:webHidden/>
          </w:rPr>
          <w:tab/>
        </w:r>
        <w:r w:rsidR="00E820CE">
          <w:rPr>
            <w:noProof/>
            <w:webHidden/>
          </w:rPr>
          <w:fldChar w:fldCharType="begin"/>
        </w:r>
        <w:r w:rsidR="00E820CE">
          <w:rPr>
            <w:noProof/>
            <w:webHidden/>
          </w:rPr>
          <w:instrText xml:space="preserve"> PAGEREF _Toc119880829 \h </w:instrText>
        </w:r>
        <w:r w:rsidR="00E820CE">
          <w:rPr>
            <w:noProof/>
            <w:webHidden/>
          </w:rPr>
        </w:r>
        <w:r w:rsidR="00E820CE">
          <w:rPr>
            <w:noProof/>
            <w:webHidden/>
          </w:rPr>
          <w:fldChar w:fldCharType="separate"/>
        </w:r>
        <w:r w:rsidR="00E820CE">
          <w:rPr>
            <w:noProof/>
            <w:webHidden/>
          </w:rPr>
          <w:t>27</w:t>
        </w:r>
        <w:r w:rsidR="00E820CE">
          <w:rPr>
            <w:noProof/>
            <w:webHidden/>
          </w:rPr>
          <w:fldChar w:fldCharType="end"/>
        </w:r>
      </w:hyperlink>
    </w:p>
    <w:p w14:paraId="6E7F6AA2" w14:textId="24567CB0" w:rsidR="00E820CE" w:rsidRDefault="00D76DF0" w:rsidP="00E820CE">
      <w:pPr>
        <w:pStyle w:val="TOC2"/>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30" w:history="1">
        <w:r w:rsidR="00E820CE" w:rsidRPr="00790AE8">
          <w:rPr>
            <w:rStyle w:val="Hyperlink"/>
            <w:noProof/>
            <w:lang w:val="sr-Cyrl-RS"/>
          </w:rPr>
          <w:t>Ресурси потребни за евалуацију</w:t>
        </w:r>
        <w:r w:rsidR="00E820CE">
          <w:rPr>
            <w:noProof/>
            <w:webHidden/>
          </w:rPr>
          <w:tab/>
        </w:r>
        <w:r w:rsidR="00E820CE">
          <w:rPr>
            <w:noProof/>
            <w:webHidden/>
          </w:rPr>
          <w:fldChar w:fldCharType="begin"/>
        </w:r>
        <w:r w:rsidR="00E820CE">
          <w:rPr>
            <w:noProof/>
            <w:webHidden/>
          </w:rPr>
          <w:instrText xml:space="preserve"> PAGEREF _Toc119880830 \h </w:instrText>
        </w:r>
        <w:r w:rsidR="00E820CE">
          <w:rPr>
            <w:noProof/>
            <w:webHidden/>
          </w:rPr>
        </w:r>
        <w:r w:rsidR="00E820CE">
          <w:rPr>
            <w:noProof/>
            <w:webHidden/>
          </w:rPr>
          <w:fldChar w:fldCharType="separate"/>
        </w:r>
        <w:r w:rsidR="00E820CE">
          <w:rPr>
            <w:noProof/>
            <w:webHidden/>
          </w:rPr>
          <w:t>29</w:t>
        </w:r>
        <w:r w:rsidR="00E820CE">
          <w:rPr>
            <w:noProof/>
            <w:webHidden/>
          </w:rPr>
          <w:fldChar w:fldCharType="end"/>
        </w:r>
      </w:hyperlink>
    </w:p>
    <w:p w14:paraId="292ABE6A" w14:textId="208F6415" w:rsidR="00E820CE" w:rsidRDefault="00D76DF0" w:rsidP="00E820CE">
      <w:pPr>
        <w:pStyle w:val="TOC1"/>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31" w:history="1">
        <w:r w:rsidR="00E820CE" w:rsidRPr="00790AE8">
          <w:rPr>
            <w:rStyle w:val="Hyperlink"/>
            <w:rFonts w:eastAsia="Times New Roman"/>
            <w:noProof/>
            <w:lang w:val="sr-Cyrl-RS"/>
          </w:rPr>
          <w:t>Библиографија</w:t>
        </w:r>
        <w:r w:rsidR="00E820CE">
          <w:rPr>
            <w:noProof/>
            <w:webHidden/>
          </w:rPr>
          <w:tab/>
        </w:r>
        <w:r w:rsidR="00E820CE">
          <w:rPr>
            <w:noProof/>
            <w:webHidden/>
          </w:rPr>
          <w:fldChar w:fldCharType="begin"/>
        </w:r>
        <w:r w:rsidR="00E820CE">
          <w:rPr>
            <w:noProof/>
            <w:webHidden/>
          </w:rPr>
          <w:instrText xml:space="preserve"> PAGEREF _Toc119880831 \h </w:instrText>
        </w:r>
        <w:r w:rsidR="00E820CE">
          <w:rPr>
            <w:noProof/>
            <w:webHidden/>
          </w:rPr>
        </w:r>
        <w:r w:rsidR="00E820CE">
          <w:rPr>
            <w:noProof/>
            <w:webHidden/>
          </w:rPr>
          <w:fldChar w:fldCharType="separate"/>
        </w:r>
        <w:r w:rsidR="00E820CE">
          <w:rPr>
            <w:noProof/>
            <w:webHidden/>
          </w:rPr>
          <w:t>30</w:t>
        </w:r>
        <w:r w:rsidR="00E820CE">
          <w:rPr>
            <w:noProof/>
            <w:webHidden/>
          </w:rPr>
          <w:fldChar w:fldCharType="end"/>
        </w:r>
      </w:hyperlink>
    </w:p>
    <w:p w14:paraId="67D7C232" w14:textId="74ABCFE1" w:rsidR="00E820CE" w:rsidRDefault="00D76DF0" w:rsidP="00E820CE">
      <w:pPr>
        <w:pStyle w:val="TOC1"/>
        <w:tabs>
          <w:tab w:val="right" w:leader="dot" w:pos="9060"/>
        </w:tabs>
        <w:spacing w:after="0" w:line="312" w:lineRule="auto"/>
        <w:ind w:firstLine="0"/>
        <w:rPr>
          <w:rFonts w:asciiTheme="minorHAnsi" w:eastAsiaTheme="minorEastAsia" w:hAnsiTheme="minorHAnsi" w:cstheme="minorBidi"/>
          <w:noProof/>
          <w:sz w:val="22"/>
          <w:szCs w:val="22"/>
          <w:lang w:val="sr-Latn-RS" w:eastAsia="sr-Latn-RS"/>
        </w:rPr>
      </w:pPr>
      <w:hyperlink w:anchor="_Toc119880832" w:history="1">
        <w:r w:rsidR="00E820CE" w:rsidRPr="00790AE8">
          <w:rPr>
            <w:rStyle w:val="Hyperlink"/>
            <w:rFonts w:eastAsia="Times New Roman"/>
            <w:noProof/>
            <w:lang w:val="sr-Cyrl-RS"/>
          </w:rPr>
          <w:t>Анекс: Мишљење на Предлог Методологије за праћење и мерење ефеката имплементације НОКС-а</w:t>
        </w:r>
        <w:r w:rsidR="00E820CE">
          <w:rPr>
            <w:noProof/>
            <w:webHidden/>
          </w:rPr>
          <w:tab/>
        </w:r>
        <w:r w:rsidR="00E820CE">
          <w:rPr>
            <w:noProof/>
            <w:webHidden/>
          </w:rPr>
          <w:fldChar w:fldCharType="begin"/>
        </w:r>
        <w:r w:rsidR="00E820CE">
          <w:rPr>
            <w:noProof/>
            <w:webHidden/>
          </w:rPr>
          <w:instrText xml:space="preserve"> PAGEREF _Toc119880832 \h </w:instrText>
        </w:r>
        <w:r w:rsidR="00E820CE">
          <w:rPr>
            <w:noProof/>
            <w:webHidden/>
          </w:rPr>
        </w:r>
        <w:r w:rsidR="00E820CE">
          <w:rPr>
            <w:noProof/>
            <w:webHidden/>
          </w:rPr>
          <w:fldChar w:fldCharType="separate"/>
        </w:r>
        <w:r w:rsidR="00E820CE">
          <w:rPr>
            <w:noProof/>
            <w:webHidden/>
          </w:rPr>
          <w:t>32</w:t>
        </w:r>
        <w:r w:rsidR="00E820CE">
          <w:rPr>
            <w:noProof/>
            <w:webHidden/>
          </w:rPr>
          <w:fldChar w:fldCharType="end"/>
        </w:r>
      </w:hyperlink>
    </w:p>
    <w:p w14:paraId="768457E2" w14:textId="5B41E243" w:rsidR="007620BB" w:rsidRDefault="007620BB" w:rsidP="007620BB">
      <w:pPr>
        <w:spacing w:line="360" w:lineRule="auto"/>
        <w:ind w:firstLine="0"/>
        <w:rPr>
          <w:lang w:val="sr-Cyrl-RS"/>
        </w:rPr>
      </w:pPr>
      <w:r>
        <w:rPr>
          <w:lang w:val="sr-Cyrl-RS"/>
        </w:rPr>
        <w:fldChar w:fldCharType="end"/>
      </w:r>
    </w:p>
    <w:p w14:paraId="5CEE8949" w14:textId="1B8C757F" w:rsidR="007620BB" w:rsidRPr="007620BB" w:rsidRDefault="007620BB" w:rsidP="007620BB">
      <w:pPr>
        <w:ind w:firstLine="0"/>
        <w:rPr>
          <w:lang w:val="sr-Cyrl-RS"/>
        </w:rPr>
        <w:sectPr w:rsidR="007620BB" w:rsidRPr="007620BB" w:rsidSect="007F2985">
          <w:headerReference w:type="default" r:id="rId9"/>
          <w:footerReference w:type="default" r:id="rId10"/>
          <w:pgSz w:w="11906" w:h="16838" w:code="9"/>
          <w:pgMar w:top="1418" w:right="1418" w:bottom="1418" w:left="1418" w:header="720" w:footer="720" w:gutter="0"/>
          <w:cols w:space="720"/>
          <w:docGrid w:linePitch="360"/>
        </w:sectPr>
      </w:pPr>
    </w:p>
    <w:p w14:paraId="4637D563" w14:textId="47FA4ABA" w:rsidR="00A16774" w:rsidRPr="00884CF0" w:rsidRDefault="00A16774" w:rsidP="007620BB">
      <w:pPr>
        <w:pStyle w:val="Heading1"/>
        <w:rPr>
          <w:rStyle w:val="italik"/>
          <w:b w:val="0"/>
          <w:bCs w:val="0"/>
          <w:szCs w:val="24"/>
          <w:lang w:val="sr-Cyrl-RS"/>
        </w:rPr>
      </w:pPr>
      <w:bookmarkStart w:id="1" w:name="_Toc119880815"/>
      <w:r w:rsidRPr="00884CF0">
        <w:rPr>
          <w:rStyle w:val="italik"/>
          <w:szCs w:val="24"/>
          <w:lang w:val="sr-Cyrl-RS"/>
        </w:rPr>
        <w:lastRenderedPageBreak/>
        <w:t>Скраћенице</w:t>
      </w:r>
      <w:bookmarkEnd w:id="1"/>
    </w:p>
    <w:p w14:paraId="23E85D7D" w14:textId="77777777" w:rsidR="00723313" w:rsidRPr="00884CF0" w:rsidRDefault="00723313" w:rsidP="00D935A8">
      <w:pPr>
        <w:pStyle w:val="Heading2"/>
        <w:jc w:val="both"/>
        <w:rPr>
          <w:rStyle w:val="italik"/>
          <w:sz w:val="24"/>
          <w:szCs w:val="24"/>
          <w:lang w:val="sr-Cyrl-RS"/>
        </w:rPr>
      </w:pPr>
    </w:p>
    <w:tbl>
      <w:tblPr>
        <w:tblStyle w:val="TableGrid"/>
        <w:tblW w:w="0" w:type="auto"/>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ook w:val="04A0" w:firstRow="1" w:lastRow="0" w:firstColumn="1" w:lastColumn="0" w:noHBand="0" w:noVBand="1"/>
      </w:tblPr>
      <w:tblGrid>
        <w:gridCol w:w="1555"/>
        <w:gridCol w:w="7461"/>
      </w:tblGrid>
      <w:tr w:rsidR="00A16774" w:rsidRPr="00884CF0" w14:paraId="35839056" w14:textId="77777777" w:rsidTr="007620BB">
        <w:tc>
          <w:tcPr>
            <w:tcW w:w="1555" w:type="dxa"/>
          </w:tcPr>
          <w:p w14:paraId="74F495A9" w14:textId="163EAC39" w:rsidR="00A16774" w:rsidRPr="00884CF0" w:rsidRDefault="002E1F9F" w:rsidP="002E1F9F">
            <w:pPr>
              <w:spacing w:line="312" w:lineRule="auto"/>
              <w:ind w:firstLine="0"/>
              <w:rPr>
                <w:lang w:val="sr-Cyrl-RS"/>
              </w:rPr>
            </w:pPr>
            <w:r w:rsidRPr="00884CF0">
              <w:rPr>
                <w:lang w:val="sr-Cyrl-RS"/>
              </w:rPr>
              <w:t>АзК</w:t>
            </w:r>
          </w:p>
        </w:tc>
        <w:tc>
          <w:tcPr>
            <w:tcW w:w="7461" w:type="dxa"/>
            <w:vAlign w:val="center"/>
          </w:tcPr>
          <w:p w14:paraId="661E5A85" w14:textId="5C9D24D3" w:rsidR="00A16774" w:rsidRPr="00884CF0" w:rsidRDefault="002E1F9F" w:rsidP="002E1F9F">
            <w:pPr>
              <w:spacing w:line="312" w:lineRule="auto"/>
              <w:ind w:firstLine="0"/>
              <w:rPr>
                <w:lang w:val="sr-Cyrl-RS"/>
              </w:rPr>
            </w:pPr>
            <w:r w:rsidRPr="00884CF0">
              <w:rPr>
                <w:lang w:val="sr-Cyrl-RS"/>
              </w:rPr>
              <w:t>Агенција за квалификације</w:t>
            </w:r>
          </w:p>
        </w:tc>
      </w:tr>
      <w:tr w:rsidR="00962B76" w:rsidRPr="00884CF0" w14:paraId="45F9139F" w14:textId="77777777" w:rsidTr="007620BB">
        <w:tc>
          <w:tcPr>
            <w:tcW w:w="1555" w:type="dxa"/>
          </w:tcPr>
          <w:p w14:paraId="19D33578" w14:textId="7F729173" w:rsidR="00962B76" w:rsidRPr="00884CF0" w:rsidRDefault="00962B76" w:rsidP="002E1F9F">
            <w:pPr>
              <w:spacing w:line="312" w:lineRule="auto"/>
              <w:ind w:firstLine="0"/>
              <w:rPr>
                <w:lang w:val="sr-Cyrl-RS"/>
              </w:rPr>
            </w:pPr>
            <w:r w:rsidRPr="00884CF0">
              <w:rPr>
                <w:lang w:val="sr-Cyrl-RS"/>
              </w:rPr>
              <w:t>ESCO</w:t>
            </w:r>
          </w:p>
        </w:tc>
        <w:tc>
          <w:tcPr>
            <w:tcW w:w="7461" w:type="dxa"/>
            <w:vAlign w:val="center"/>
          </w:tcPr>
          <w:p w14:paraId="56B702F3" w14:textId="597877E0" w:rsidR="00962B76" w:rsidRPr="00884CF0" w:rsidRDefault="00962B76" w:rsidP="002E1F9F">
            <w:pPr>
              <w:spacing w:line="312" w:lineRule="auto"/>
              <w:ind w:firstLine="0"/>
              <w:jc w:val="left"/>
              <w:rPr>
                <w:lang w:val="sr-Cyrl-RS"/>
              </w:rPr>
            </w:pPr>
            <w:r w:rsidRPr="00884CF0">
              <w:rPr>
                <w:lang w:val="sr-Cyrl-RS"/>
              </w:rPr>
              <w:t>Classification of European Skills, Competences Qualifications and Occupations</w:t>
            </w:r>
          </w:p>
        </w:tc>
      </w:tr>
      <w:tr w:rsidR="00A16774" w:rsidRPr="004D7EA5" w14:paraId="78629A66" w14:textId="77777777" w:rsidTr="007620BB">
        <w:tc>
          <w:tcPr>
            <w:tcW w:w="1555" w:type="dxa"/>
          </w:tcPr>
          <w:p w14:paraId="1344FBED" w14:textId="0F25A5E8" w:rsidR="00A16774" w:rsidRPr="00884CF0" w:rsidRDefault="002E1F9F" w:rsidP="002E1F9F">
            <w:pPr>
              <w:spacing w:line="312" w:lineRule="auto"/>
              <w:ind w:firstLine="0"/>
              <w:rPr>
                <w:lang w:val="sr-Cyrl-RS"/>
              </w:rPr>
            </w:pPr>
            <w:r w:rsidRPr="00884CF0">
              <w:rPr>
                <w:lang w:val="sr-Cyrl-RS"/>
              </w:rPr>
              <w:t>ЈПОА</w:t>
            </w:r>
          </w:p>
        </w:tc>
        <w:tc>
          <w:tcPr>
            <w:tcW w:w="7461" w:type="dxa"/>
            <w:vAlign w:val="center"/>
          </w:tcPr>
          <w:p w14:paraId="58816DEA" w14:textId="4BD8F0DD" w:rsidR="00A16774" w:rsidRPr="00884CF0" w:rsidRDefault="002E1F9F" w:rsidP="002E1F9F">
            <w:pPr>
              <w:spacing w:line="312" w:lineRule="auto"/>
              <w:ind w:firstLine="0"/>
              <w:rPr>
                <w:lang w:val="sr-Cyrl-RS"/>
              </w:rPr>
            </w:pPr>
            <w:r w:rsidRPr="00884CF0">
              <w:rPr>
                <w:lang w:val="sr-Cyrl-RS"/>
              </w:rPr>
              <w:t>Јавно признати организатори активности образовања одраслих</w:t>
            </w:r>
          </w:p>
        </w:tc>
      </w:tr>
      <w:tr w:rsidR="00A16774" w:rsidRPr="00884CF0" w14:paraId="5FB383D1" w14:textId="77777777" w:rsidTr="007620BB">
        <w:tc>
          <w:tcPr>
            <w:tcW w:w="1555" w:type="dxa"/>
          </w:tcPr>
          <w:p w14:paraId="79CA2693" w14:textId="4CA11F9C" w:rsidR="00A16774" w:rsidRPr="00884CF0" w:rsidRDefault="002E1F9F" w:rsidP="002E1F9F">
            <w:pPr>
              <w:spacing w:line="312" w:lineRule="auto"/>
              <w:ind w:firstLine="0"/>
              <w:rPr>
                <w:lang w:val="sr-Cyrl-RS"/>
              </w:rPr>
            </w:pPr>
            <w:r w:rsidRPr="00884CF0">
              <w:rPr>
                <w:lang w:val="sr-Cyrl-RS"/>
              </w:rPr>
              <w:t>КОНУС</w:t>
            </w:r>
          </w:p>
        </w:tc>
        <w:tc>
          <w:tcPr>
            <w:tcW w:w="7461" w:type="dxa"/>
            <w:vAlign w:val="center"/>
          </w:tcPr>
          <w:p w14:paraId="5B36C86A" w14:textId="7F1E636B" w:rsidR="00A16774" w:rsidRPr="00884CF0" w:rsidRDefault="002E1F9F" w:rsidP="002E1F9F">
            <w:pPr>
              <w:spacing w:line="312" w:lineRule="auto"/>
              <w:ind w:firstLine="0"/>
              <w:rPr>
                <w:lang w:val="sr-Cyrl-RS"/>
              </w:rPr>
            </w:pPr>
            <w:r w:rsidRPr="00884CF0">
              <w:rPr>
                <w:lang w:val="sr-Cyrl-RS"/>
              </w:rPr>
              <w:t>Конференција универзитета Србије</w:t>
            </w:r>
          </w:p>
        </w:tc>
      </w:tr>
      <w:tr w:rsidR="00A16774" w:rsidRPr="004D7EA5" w14:paraId="25A24E81" w14:textId="77777777" w:rsidTr="007620BB">
        <w:tc>
          <w:tcPr>
            <w:tcW w:w="1555" w:type="dxa"/>
          </w:tcPr>
          <w:p w14:paraId="04D4C5B1" w14:textId="741715C2" w:rsidR="00A16774" w:rsidRPr="00884CF0" w:rsidRDefault="002E1F9F" w:rsidP="002E1F9F">
            <w:pPr>
              <w:spacing w:line="312" w:lineRule="auto"/>
              <w:ind w:firstLine="0"/>
              <w:rPr>
                <w:lang w:val="sr-Cyrl-RS"/>
              </w:rPr>
            </w:pPr>
            <w:r w:rsidRPr="00884CF0">
              <w:rPr>
                <w:lang w:val="sr-Cyrl-RS"/>
              </w:rPr>
              <w:t>КАССС</w:t>
            </w:r>
          </w:p>
        </w:tc>
        <w:tc>
          <w:tcPr>
            <w:tcW w:w="7461" w:type="dxa"/>
            <w:vAlign w:val="center"/>
          </w:tcPr>
          <w:p w14:paraId="71B0C5D4" w14:textId="3A1CD4D9" w:rsidR="00A16774" w:rsidRPr="00884CF0" w:rsidRDefault="002E1F9F" w:rsidP="002E1F9F">
            <w:pPr>
              <w:spacing w:line="312" w:lineRule="auto"/>
              <w:ind w:firstLine="0"/>
              <w:rPr>
                <w:lang w:val="sr-Cyrl-RS"/>
              </w:rPr>
            </w:pPr>
            <w:r w:rsidRPr="00884CF0">
              <w:rPr>
                <w:lang w:val="sr-Cyrl-RS"/>
              </w:rPr>
              <w:t>Конференција академија и високих школа Србије</w:t>
            </w:r>
          </w:p>
        </w:tc>
      </w:tr>
      <w:tr w:rsidR="00A16774" w:rsidRPr="004D7EA5" w14:paraId="422865CF" w14:textId="77777777" w:rsidTr="007620BB">
        <w:tc>
          <w:tcPr>
            <w:tcW w:w="1555" w:type="dxa"/>
          </w:tcPr>
          <w:p w14:paraId="5EAA6156" w14:textId="05EAC420" w:rsidR="00A16774" w:rsidRPr="00884CF0" w:rsidRDefault="002E1F9F" w:rsidP="002E1F9F">
            <w:pPr>
              <w:spacing w:line="312" w:lineRule="auto"/>
              <w:ind w:firstLine="0"/>
              <w:rPr>
                <w:lang w:val="sr-Cyrl-RS"/>
              </w:rPr>
            </w:pPr>
            <w:r w:rsidRPr="00884CF0">
              <w:rPr>
                <w:lang w:val="sr-Cyrl-RS"/>
              </w:rPr>
              <w:t>МПНТР</w:t>
            </w:r>
          </w:p>
        </w:tc>
        <w:tc>
          <w:tcPr>
            <w:tcW w:w="7461" w:type="dxa"/>
            <w:vAlign w:val="center"/>
          </w:tcPr>
          <w:p w14:paraId="4964FC1B" w14:textId="139AAAFD" w:rsidR="00A16774" w:rsidRPr="00884CF0" w:rsidRDefault="002E1F9F" w:rsidP="002E1F9F">
            <w:pPr>
              <w:spacing w:line="312" w:lineRule="auto"/>
              <w:ind w:firstLine="0"/>
              <w:rPr>
                <w:lang w:val="sr-Cyrl-RS"/>
              </w:rPr>
            </w:pPr>
            <w:r w:rsidRPr="00884CF0">
              <w:rPr>
                <w:lang w:val="sr-Cyrl-RS"/>
              </w:rPr>
              <w:t>Министарство просвете, науке и технолошког развоја</w:t>
            </w:r>
          </w:p>
        </w:tc>
      </w:tr>
      <w:tr w:rsidR="00A16774" w:rsidRPr="00884CF0" w14:paraId="2479A3CF" w14:textId="77777777" w:rsidTr="007620BB">
        <w:tc>
          <w:tcPr>
            <w:tcW w:w="1555" w:type="dxa"/>
          </w:tcPr>
          <w:p w14:paraId="22D6936A" w14:textId="1E23A907" w:rsidR="00A16774" w:rsidRPr="00884CF0" w:rsidRDefault="002E1F9F" w:rsidP="002E1F9F">
            <w:pPr>
              <w:spacing w:line="312" w:lineRule="auto"/>
              <w:ind w:firstLine="0"/>
              <w:rPr>
                <w:lang w:val="sr-Cyrl-RS"/>
              </w:rPr>
            </w:pPr>
            <w:r w:rsidRPr="00884CF0">
              <w:rPr>
                <w:lang w:val="sr-Cyrl-RS"/>
              </w:rPr>
              <w:t>НАТ</w:t>
            </w:r>
          </w:p>
        </w:tc>
        <w:tc>
          <w:tcPr>
            <w:tcW w:w="7461" w:type="dxa"/>
            <w:vAlign w:val="center"/>
          </w:tcPr>
          <w:p w14:paraId="1CE1FB7D" w14:textId="1EF7BDE6" w:rsidR="00A16774" w:rsidRPr="00884CF0" w:rsidRDefault="002E1F9F" w:rsidP="002E1F9F">
            <w:pPr>
              <w:spacing w:line="312" w:lineRule="auto"/>
              <w:ind w:firstLine="0"/>
              <w:rPr>
                <w:lang w:val="sr-Cyrl-RS"/>
              </w:rPr>
            </w:pPr>
            <w:r w:rsidRPr="00884CF0">
              <w:rPr>
                <w:lang w:val="sr-Cyrl-RS"/>
              </w:rPr>
              <w:t>Национално акредитационо тело</w:t>
            </w:r>
          </w:p>
        </w:tc>
      </w:tr>
      <w:tr w:rsidR="00A16774" w:rsidRPr="004D7EA5" w14:paraId="5A8C690D" w14:textId="77777777" w:rsidTr="007620BB">
        <w:tc>
          <w:tcPr>
            <w:tcW w:w="1555" w:type="dxa"/>
          </w:tcPr>
          <w:p w14:paraId="698DF4EB" w14:textId="3FB39FCA" w:rsidR="00A16774" w:rsidRPr="00884CF0" w:rsidRDefault="002E1F9F" w:rsidP="002E1F9F">
            <w:pPr>
              <w:spacing w:line="312" w:lineRule="auto"/>
              <w:ind w:firstLine="0"/>
              <w:rPr>
                <w:lang w:val="sr-Cyrl-RS"/>
              </w:rPr>
            </w:pPr>
            <w:r w:rsidRPr="00884CF0">
              <w:rPr>
                <w:lang w:val="sr-Cyrl-RS"/>
              </w:rPr>
              <w:t>НОКС</w:t>
            </w:r>
          </w:p>
        </w:tc>
        <w:tc>
          <w:tcPr>
            <w:tcW w:w="7461" w:type="dxa"/>
            <w:vAlign w:val="center"/>
          </w:tcPr>
          <w:p w14:paraId="05F9C878" w14:textId="2F9E7AD0" w:rsidR="00A16774" w:rsidRPr="00884CF0" w:rsidRDefault="002E1F9F" w:rsidP="002E1F9F">
            <w:pPr>
              <w:spacing w:line="312" w:lineRule="auto"/>
              <w:ind w:firstLine="0"/>
              <w:rPr>
                <w:lang w:val="sr-Cyrl-RS"/>
              </w:rPr>
            </w:pPr>
            <w:r w:rsidRPr="00884CF0">
              <w:rPr>
                <w:lang w:val="sr-Cyrl-RS"/>
              </w:rPr>
              <w:t>Национални оквир квалификација у Србији</w:t>
            </w:r>
          </w:p>
        </w:tc>
      </w:tr>
      <w:tr w:rsidR="00A16774" w:rsidRPr="00884CF0" w14:paraId="72522F9D" w14:textId="77777777" w:rsidTr="007620BB">
        <w:tc>
          <w:tcPr>
            <w:tcW w:w="1555" w:type="dxa"/>
          </w:tcPr>
          <w:p w14:paraId="57A7002C" w14:textId="46CD0A32" w:rsidR="00A16774" w:rsidRPr="00884CF0" w:rsidRDefault="002E1F9F" w:rsidP="002E1F9F">
            <w:pPr>
              <w:spacing w:line="312" w:lineRule="auto"/>
              <w:ind w:firstLine="0"/>
              <w:rPr>
                <w:lang w:val="sr-Cyrl-RS"/>
              </w:rPr>
            </w:pPr>
            <w:r w:rsidRPr="00884CF0">
              <w:rPr>
                <w:lang w:val="sr-Cyrl-RS"/>
              </w:rPr>
              <w:t>НПС</w:t>
            </w:r>
          </w:p>
        </w:tc>
        <w:tc>
          <w:tcPr>
            <w:tcW w:w="7461" w:type="dxa"/>
            <w:vAlign w:val="center"/>
          </w:tcPr>
          <w:p w14:paraId="3CBE79C4" w14:textId="402876B2" w:rsidR="00A16774" w:rsidRPr="00884CF0" w:rsidRDefault="002E1F9F" w:rsidP="002E1F9F">
            <w:pPr>
              <w:spacing w:line="312" w:lineRule="auto"/>
              <w:ind w:firstLine="0"/>
              <w:rPr>
                <w:lang w:val="sr-Cyrl-RS"/>
              </w:rPr>
            </w:pPr>
            <w:r w:rsidRPr="00884CF0">
              <w:rPr>
                <w:lang w:val="sr-Cyrl-RS"/>
              </w:rPr>
              <w:t>Национални просветни савет</w:t>
            </w:r>
          </w:p>
        </w:tc>
      </w:tr>
      <w:tr w:rsidR="00A16774" w:rsidRPr="004D7EA5" w14:paraId="02172DF3" w14:textId="77777777" w:rsidTr="007620BB">
        <w:tc>
          <w:tcPr>
            <w:tcW w:w="1555" w:type="dxa"/>
          </w:tcPr>
          <w:p w14:paraId="55F98AF3" w14:textId="5F137C00" w:rsidR="00A16774" w:rsidRPr="00884CF0" w:rsidRDefault="002E1F9F" w:rsidP="002E1F9F">
            <w:pPr>
              <w:spacing w:line="312" w:lineRule="auto"/>
              <w:ind w:firstLine="0"/>
              <w:rPr>
                <w:lang w:val="sr-Cyrl-RS"/>
              </w:rPr>
            </w:pPr>
            <w:r w:rsidRPr="00884CF0">
              <w:rPr>
                <w:lang w:val="sr-Cyrl-RS"/>
              </w:rPr>
              <w:t>НСВО</w:t>
            </w:r>
          </w:p>
        </w:tc>
        <w:tc>
          <w:tcPr>
            <w:tcW w:w="7461" w:type="dxa"/>
            <w:vAlign w:val="center"/>
          </w:tcPr>
          <w:p w14:paraId="6154824A" w14:textId="7AC05922" w:rsidR="00A16774" w:rsidRPr="00884CF0" w:rsidRDefault="002E1F9F" w:rsidP="002E1F9F">
            <w:pPr>
              <w:spacing w:line="312" w:lineRule="auto"/>
              <w:ind w:firstLine="0"/>
              <w:rPr>
                <w:lang w:val="sr-Cyrl-RS"/>
              </w:rPr>
            </w:pPr>
            <w:r w:rsidRPr="00884CF0">
              <w:rPr>
                <w:lang w:val="sr-Cyrl-RS"/>
              </w:rPr>
              <w:t>Национални савет за високо образовање</w:t>
            </w:r>
          </w:p>
        </w:tc>
      </w:tr>
      <w:tr w:rsidR="00A16774" w:rsidRPr="00884CF0" w14:paraId="6A4E28EF" w14:textId="77777777" w:rsidTr="007620BB">
        <w:tc>
          <w:tcPr>
            <w:tcW w:w="1555" w:type="dxa"/>
          </w:tcPr>
          <w:p w14:paraId="4E4A6751" w14:textId="11B2589A" w:rsidR="00A16774" w:rsidRPr="00884CF0" w:rsidRDefault="002E1F9F" w:rsidP="002E1F9F">
            <w:pPr>
              <w:spacing w:line="312" w:lineRule="auto"/>
              <w:ind w:firstLine="0"/>
              <w:rPr>
                <w:lang w:val="sr-Cyrl-RS"/>
              </w:rPr>
            </w:pPr>
            <w:r w:rsidRPr="00884CF0">
              <w:rPr>
                <w:lang w:val="sr-Cyrl-RS"/>
              </w:rPr>
              <w:t>НСЗ</w:t>
            </w:r>
          </w:p>
        </w:tc>
        <w:tc>
          <w:tcPr>
            <w:tcW w:w="7461" w:type="dxa"/>
            <w:vAlign w:val="center"/>
          </w:tcPr>
          <w:p w14:paraId="176A766E" w14:textId="4C51D760" w:rsidR="00A16774" w:rsidRPr="00884CF0" w:rsidRDefault="002E1F9F" w:rsidP="002E1F9F">
            <w:pPr>
              <w:spacing w:line="312" w:lineRule="auto"/>
              <w:ind w:firstLine="0"/>
              <w:rPr>
                <w:lang w:val="sr-Cyrl-RS"/>
              </w:rPr>
            </w:pPr>
            <w:r w:rsidRPr="00884CF0">
              <w:rPr>
                <w:lang w:val="sr-Cyrl-RS"/>
              </w:rPr>
              <w:t>Национална служба за запошљавање</w:t>
            </w:r>
          </w:p>
        </w:tc>
      </w:tr>
      <w:tr w:rsidR="00A16774" w:rsidRPr="00884CF0" w14:paraId="71E9F933" w14:textId="77777777" w:rsidTr="007620BB">
        <w:tc>
          <w:tcPr>
            <w:tcW w:w="1555" w:type="dxa"/>
          </w:tcPr>
          <w:p w14:paraId="538543E5" w14:textId="311BF3D3" w:rsidR="00A16774" w:rsidRPr="00884CF0" w:rsidRDefault="002E1F9F" w:rsidP="002E1F9F">
            <w:pPr>
              <w:spacing w:line="312" w:lineRule="auto"/>
              <w:ind w:firstLine="0"/>
              <w:rPr>
                <w:lang w:val="sr-Cyrl-RS"/>
              </w:rPr>
            </w:pPr>
            <w:r w:rsidRPr="00884CF0">
              <w:rPr>
                <w:lang w:val="sr-Cyrl-RS"/>
              </w:rPr>
              <w:t>ОАС</w:t>
            </w:r>
          </w:p>
        </w:tc>
        <w:tc>
          <w:tcPr>
            <w:tcW w:w="7461" w:type="dxa"/>
            <w:vAlign w:val="center"/>
          </w:tcPr>
          <w:p w14:paraId="3A8A97AF" w14:textId="0B47609B" w:rsidR="00A16774" w:rsidRPr="00884CF0" w:rsidRDefault="002E1F9F" w:rsidP="002E1F9F">
            <w:pPr>
              <w:spacing w:line="312" w:lineRule="auto"/>
              <w:ind w:firstLine="0"/>
              <w:rPr>
                <w:lang w:val="sr-Cyrl-RS"/>
              </w:rPr>
            </w:pPr>
            <w:r w:rsidRPr="00884CF0">
              <w:rPr>
                <w:lang w:val="sr-Cyrl-RS"/>
              </w:rPr>
              <w:t>Основне академске студије</w:t>
            </w:r>
          </w:p>
        </w:tc>
      </w:tr>
      <w:tr w:rsidR="00A16774" w:rsidRPr="00884CF0" w14:paraId="2652909D" w14:textId="77777777" w:rsidTr="007620BB">
        <w:tc>
          <w:tcPr>
            <w:tcW w:w="1555" w:type="dxa"/>
          </w:tcPr>
          <w:p w14:paraId="380A178F" w14:textId="789FFBEF" w:rsidR="00A16774" w:rsidRPr="00884CF0" w:rsidRDefault="002E1F9F" w:rsidP="002E1F9F">
            <w:pPr>
              <w:spacing w:line="312" w:lineRule="auto"/>
              <w:ind w:firstLine="0"/>
              <w:rPr>
                <w:lang w:val="sr-Cyrl-RS"/>
              </w:rPr>
            </w:pPr>
            <w:r w:rsidRPr="00884CF0">
              <w:rPr>
                <w:lang w:val="sr-Cyrl-RS"/>
              </w:rPr>
              <w:t>ППУ</w:t>
            </w:r>
          </w:p>
        </w:tc>
        <w:tc>
          <w:tcPr>
            <w:tcW w:w="7461" w:type="dxa"/>
            <w:vAlign w:val="center"/>
          </w:tcPr>
          <w:p w14:paraId="76369081" w14:textId="6D369163" w:rsidR="00A16774" w:rsidRPr="00884CF0" w:rsidRDefault="002E1F9F" w:rsidP="002E1F9F">
            <w:pPr>
              <w:spacing w:line="312" w:lineRule="auto"/>
              <w:ind w:firstLine="0"/>
              <w:rPr>
                <w:lang w:val="sr-Cyrl-RS"/>
              </w:rPr>
            </w:pPr>
            <w:r w:rsidRPr="00884CF0">
              <w:rPr>
                <w:lang w:val="sr-Cyrl-RS"/>
              </w:rPr>
              <w:t>Признавање претходног учења</w:t>
            </w:r>
          </w:p>
        </w:tc>
      </w:tr>
      <w:tr w:rsidR="00A16774" w:rsidRPr="004D7EA5" w14:paraId="57EE095B" w14:textId="77777777" w:rsidTr="007620BB">
        <w:tc>
          <w:tcPr>
            <w:tcW w:w="1555" w:type="dxa"/>
          </w:tcPr>
          <w:p w14:paraId="4882924E" w14:textId="3E7BC752" w:rsidR="00A16774" w:rsidRPr="00884CF0" w:rsidRDefault="002E1F9F" w:rsidP="002E1F9F">
            <w:pPr>
              <w:spacing w:line="312" w:lineRule="auto"/>
              <w:ind w:firstLine="0"/>
              <w:rPr>
                <w:lang w:val="sr-Cyrl-RS"/>
              </w:rPr>
            </w:pPr>
            <w:r w:rsidRPr="00884CF0">
              <w:rPr>
                <w:lang w:val="sr-Cyrl-RS"/>
              </w:rPr>
              <w:t>РКиПСВ</w:t>
            </w:r>
          </w:p>
        </w:tc>
        <w:tc>
          <w:tcPr>
            <w:tcW w:w="7461" w:type="dxa"/>
            <w:vAlign w:val="center"/>
          </w:tcPr>
          <w:p w14:paraId="543387D0" w14:textId="2B66EC9F" w:rsidR="00A16774" w:rsidRPr="00884CF0" w:rsidRDefault="002E1F9F" w:rsidP="002E1F9F">
            <w:pPr>
              <w:spacing w:line="312" w:lineRule="auto"/>
              <w:ind w:firstLine="0"/>
              <w:rPr>
                <w:lang w:val="sr-Cyrl-RS"/>
              </w:rPr>
            </w:pPr>
            <w:r w:rsidRPr="00884CF0">
              <w:rPr>
                <w:lang w:val="sr-Cyrl-RS"/>
              </w:rPr>
              <w:t>Центар за развој квалификација и подршку секторским већима</w:t>
            </w:r>
          </w:p>
        </w:tc>
      </w:tr>
      <w:tr w:rsidR="00A16774" w:rsidRPr="00884CF0" w14:paraId="2D83928E" w14:textId="77777777" w:rsidTr="007620BB">
        <w:tc>
          <w:tcPr>
            <w:tcW w:w="1555" w:type="dxa"/>
          </w:tcPr>
          <w:p w14:paraId="61E9DD3F" w14:textId="5FF48918" w:rsidR="00A16774" w:rsidRPr="00884CF0" w:rsidRDefault="002E1F9F" w:rsidP="002E1F9F">
            <w:pPr>
              <w:spacing w:line="312" w:lineRule="auto"/>
              <w:ind w:firstLine="0"/>
              <w:rPr>
                <w:lang w:val="sr-Cyrl-RS"/>
              </w:rPr>
            </w:pPr>
            <w:r w:rsidRPr="00884CF0">
              <w:rPr>
                <w:lang w:val="sr-Cyrl-RS"/>
              </w:rPr>
              <w:t>РЗС</w:t>
            </w:r>
          </w:p>
        </w:tc>
        <w:tc>
          <w:tcPr>
            <w:tcW w:w="7461" w:type="dxa"/>
            <w:vAlign w:val="center"/>
          </w:tcPr>
          <w:p w14:paraId="63D99705" w14:textId="61343876" w:rsidR="00A16774" w:rsidRPr="00884CF0" w:rsidRDefault="002E1F9F" w:rsidP="002E1F9F">
            <w:pPr>
              <w:spacing w:line="312" w:lineRule="auto"/>
              <w:ind w:firstLine="0"/>
              <w:rPr>
                <w:lang w:val="sr-Cyrl-RS"/>
              </w:rPr>
            </w:pPr>
            <w:r w:rsidRPr="00884CF0">
              <w:rPr>
                <w:lang w:val="sr-Cyrl-RS"/>
              </w:rPr>
              <w:t>Републички завод за статистику</w:t>
            </w:r>
          </w:p>
        </w:tc>
      </w:tr>
      <w:tr w:rsidR="00A16774" w:rsidRPr="00884CF0" w14:paraId="174AC3CA" w14:textId="77777777" w:rsidTr="007620BB">
        <w:tc>
          <w:tcPr>
            <w:tcW w:w="1555" w:type="dxa"/>
          </w:tcPr>
          <w:p w14:paraId="2B9A0F1B" w14:textId="37FA2330" w:rsidR="00A16774" w:rsidRPr="00884CF0" w:rsidRDefault="002E1F9F" w:rsidP="002E1F9F">
            <w:pPr>
              <w:spacing w:line="312" w:lineRule="auto"/>
              <w:ind w:firstLine="0"/>
              <w:rPr>
                <w:lang w:val="sr-Cyrl-RS"/>
              </w:rPr>
            </w:pPr>
            <w:r w:rsidRPr="00884CF0">
              <w:rPr>
                <w:lang w:val="sr-Cyrl-RS"/>
              </w:rPr>
              <w:t>СК</w:t>
            </w:r>
          </w:p>
        </w:tc>
        <w:tc>
          <w:tcPr>
            <w:tcW w:w="7461" w:type="dxa"/>
            <w:vAlign w:val="center"/>
          </w:tcPr>
          <w:p w14:paraId="50423727" w14:textId="27040B5A" w:rsidR="00A16774" w:rsidRPr="00884CF0" w:rsidRDefault="002E1F9F" w:rsidP="002E1F9F">
            <w:pPr>
              <w:spacing w:line="312" w:lineRule="auto"/>
              <w:ind w:firstLine="0"/>
              <w:rPr>
                <w:lang w:val="sr-Cyrl-RS"/>
              </w:rPr>
            </w:pPr>
            <w:r w:rsidRPr="00884CF0">
              <w:rPr>
                <w:lang w:val="sr-Cyrl-RS"/>
              </w:rPr>
              <w:t>Стандард квалификације</w:t>
            </w:r>
          </w:p>
        </w:tc>
      </w:tr>
      <w:tr w:rsidR="00A16774" w:rsidRPr="004D7EA5" w14:paraId="3D116A48" w14:textId="77777777" w:rsidTr="007620BB">
        <w:tc>
          <w:tcPr>
            <w:tcW w:w="1555" w:type="dxa"/>
          </w:tcPr>
          <w:p w14:paraId="2A45D016" w14:textId="77175346" w:rsidR="00A16774" w:rsidRPr="00884CF0" w:rsidRDefault="002E1F9F" w:rsidP="002E1F9F">
            <w:pPr>
              <w:spacing w:line="312" w:lineRule="auto"/>
              <w:ind w:firstLine="0"/>
              <w:rPr>
                <w:lang w:val="sr-Cyrl-RS"/>
              </w:rPr>
            </w:pPr>
            <w:r w:rsidRPr="00884CF0">
              <w:rPr>
                <w:lang w:val="sr-Cyrl-RS"/>
              </w:rPr>
              <w:t>ССОВ</w:t>
            </w:r>
          </w:p>
        </w:tc>
        <w:tc>
          <w:tcPr>
            <w:tcW w:w="7461" w:type="dxa"/>
            <w:vAlign w:val="center"/>
          </w:tcPr>
          <w:p w14:paraId="534C9C34" w14:textId="03BDE4ED" w:rsidR="00A16774" w:rsidRPr="00884CF0" w:rsidRDefault="002E1F9F" w:rsidP="002E1F9F">
            <w:pPr>
              <w:spacing w:line="312" w:lineRule="auto"/>
              <w:ind w:firstLine="0"/>
              <w:rPr>
                <w:lang w:val="sr-Cyrl-RS"/>
              </w:rPr>
            </w:pPr>
            <w:r w:rsidRPr="00884CF0">
              <w:rPr>
                <w:lang w:val="sr-Cyrl-RS"/>
              </w:rPr>
              <w:t>Средње стручно образовање и васпитање</w:t>
            </w:r>
          </w:p>
        </w:tc>
      </w:tr>
      <w:tr w:rsidR="00A16774" w:rsidRPr="004D7EA5" w14:paraId="415DBC65" w14:textId="77777777" w:rsidTr="007620BB">
        <w:tc>
          <w:tcPr>
            <w:tcW w:w="1555" w:type="dxa"/>
          </w:tcPr>
          <w:p w14:paraId="60271B81" w14:textId="27632E09" w:rsidR="00A16774" w:rsidRPr="00884CF0" w:rsidRDefault="002E1F9F" w:rsidP="002E1F9F">
            <w:pPr>
              <w:spacing w:line="312" w:lineRule="auto"/>
              <w:ind w:firstLine="0"/>
              <w:rPr>
                <w:lang w:val="sr-Cyrl-RS"/>
              </w:rPr>
            </w:pPr>
            <w:r w:rsidRPr="00884CF0">
              <w:rPr>
                <w:lang w:val="sr-Cyrl-RS"/>
              </w:rPr>
              <w:t>ССООО</w:t>
            </w:r>
          </w:p>
        </w:tc>
        <w:tc>
          <w:tcPr>
            <w:tcW w:w="7461" w:type="dxa"/>
            <w:vAlign w:val="center"/>
          </w:tcPr>
          <w:p w14:paraId="57570B6A" w14:textId="23D37F0D" w:rsidR="00A16774" w:rsidRPr="00884CF0" w:rsidRDefault="002E1F9F" w:rsidP="002E1F9F">
            <w:pPr>
              <w:spacing w:line="312" w:lineRule="auto"/>
              <w:ind w:firstLine="0"/>
              <w:rPr>
                <w:lang w:val="sr-Cyrl-RS"/>
              </w:rPr>
            </w:pPr>
            <w:r w:rsidRPr="00884CF0">
              <w:rPr>
                <w:lang w:val="sr-Cyrl-RS"/>
              </w:rPr>
              <w:t>Савет за стручно образовање и образовање одраслих</w:t>
            </w:r>
          </w:p>
        </w:tc>
      </w:tr>
      <w:tr w:rsidR="00A16774" w:rsidRPr="00884CF0" w14:paraId="1BE6CF2E" w14:textId="77777777" w:rsidTr="007620BB">
        <w:tc>
          <w:tcPr>
            <w:tcW w:w="1555" w:type="dxa"/>
          </w:tcPr>
          <w:p w14:paraId="44115532" w14:textId="5ED8AE6E" w:rsidR="00A16774" w:rsidRPr="00884CF0" w:rsidRDefault="002E1F9F" w:rsidP="002E1F9F">
            <w:pPr>
              <w:spacing w:line="312" w:lineRule="auto"/>
              <w:ind w:firstLine="0"/>
              <w:rPr>
                <w:lang w:val="sr-Cyrl-RS"/>
              </w:rPr>
            </w:pPr>
            <w:r w:rsidRPr="00884CF0">
              <w:rPr>
                <w:lang w:val="sr-Cyrl-RS"/>
              </w:rPr>
              <w:t>СВ</w:t>
            </w:r>
          </w:p>
        </w:tc>
        <w:tc>
          <w:tcPr>
            <w:tcW w:w="7461" w:type="dxa"/>
            <w:vAlign w:val="center"/>
          </w:tcPr>
          <w:p w14:paraId="67FE2538" w14:textId="6D9FBAF0" w:rsidR="00A16774" w:rsidRPr="00884CF0" w:rsidRDefault="002E1F9F" w:rsidP="002E1F9F">
            <w:pPr>
              <w:spacing w:line="312" w:lineRule="auto"/>
              <w:ind w:firstLine="0"/>
              <w:rPr>
                <w:lang w:val="sr-Cyrl-RS"/>
              </w:rPr>
            </w:pPr>
            <w:r w:rsidRPr="00884CF0">
              <w:rPr>
                <w:lang w:val="sr-Cyrl-RS"/>
              </w:rPr>
              <w:t>Секторско веће</w:t>
            </w:r>
          </w:p>
        </w:tc>
      </w:tr>
      <w:tr w:rsidR="00A16774" w:rsidRPr="00884CF0" w14:paraId="3292261A" w14:textId="77777777" w:rsidTr="007620BB">
        <w:tc>
          <w:tcPr>
            <w:tcW w:w="1555" w:type="dxa"/>
          </w:tcPr>
          <w:p w14:paraId="00A6D887" w14:textId="7FE911E5" w:rsidR="00A16774" w:rsidRPr="00884CF0" w:rsidRDefault="002E1F9F" w:rsidP="002E1F9F">
            <w:pPr>
              <w:spacing w:line="312" w:lineRule="auto"/>
              <w:ind w:firstLine="0"/>
              <w:rPr>
                <w:lang w:val="sr-Cyrl-RS"/>
              </w:rPr>
            </w:pPr>
            <w:r w:rsidRPr="00884CF0">
              <w:rPr>
                <w:lang w:val="sr-Cyrl-RS"/>
              </w:rPr>
              <w:t>ВО</w:t>
            </w:r>
          </w:p>
        </w:tc>
        <w:tc>
          <w:tcPr>
            <w:tcW w:w="7461" w:type="dxa"/>
            <w:vAlign w:val="center"/>
          </w:tcPr>
          <w:p w14:paraId="1BCD6B18" w14:textId="1CFE94D0" w:rsidR="00A16774" w:rsidRPr="00884CF0" w:rsidRDefault="002E1F9F" w:rsidP="002E1F9F">
            <w:pPr>
              <w:spacing w:line="312" w:lineRule="auto"/>
              <w:ind w:firstLine="0"/>
              <w:rPr>
                <w:lang w:val="sr-Cyrl-RS"/>
              </w:rPr>
            </w:pPr>
            <w:r w:rsidRPr="00884CF0">
              <w:rPr>
                <w:lang w:val="sr-Cyrl-RS"/>
              </w:rPr>
              <w:t>Високо образовање</w:t>
            </w:r>
          </w:p>
        </w:tc>
      </w:tr>
      <w:tr w:rsidR="00A16774" w:rsidRPr="00884CF0" w14:paraId="35F05402" w14:textId="77777777" w:rsidTr="007620BB">
        <w:tc>
          <w:tcPr>
            <w:tcW w:w="1555" w:type="dxa"/>
          </w:tcPr>
          <w:p w14:paraId="2BCC8322" w14:textId="49995340" w:rsidR="00A16774" w:rsidRPr="00884CF0" w:rsidRDefault="002E1F9F" w:rsidP="002E1F9F">
            <w:pPr>
              <w:spacing w:line="312" w:lineRule="auto"/>
              <w:ind w:firstLine="0"/>
              <w:rPr>
                <w:lang w:val="sr-Cyrl-RS"/>
              </w:rPr>
            </w:pPr>
            <w:r w:rsidRPr="00884CF0">
              <w:rPr>
                <w:lang w:val="sr-Cyrl-RS"/>
              </w:rPr>
              <w:t>ВШУ</w:t>
            </w:r>
          </w:p>
        </w:tc>
        <w:tc>
          <w:tcPr>
            <w:tcW w:w="7461" w:type="dxa"/>
            <w:vAlign w:val="center"/>
          </w:tcPr>
          <w:p w14:paraId="5FCF7CB7" w14:textId="10D6D6E4" w:rsidR="00A16774" w:rsidRPr="00884CF0" w:rsidRDefault="002E1F9F" w:rsidP="002E1F9F">
            <w:pPr>
              <w:spacing w:line="312" w:lineRule="auto"/>
              <w:ind w:firstLine="0"/>
              <w:rPr>
                <w:lang w:val="sr-Cyrl-RS"/>
              </w:rPr>
            </w:pPr>
            <w:r w:rsidRPr="00884CF0">
              <w:rPr>
                <w:lang w:val="sr-Cyrl-RS"/>
              </w:rPr>
              <w:t>Високошколска установа</w:t>
            </w:r>
          </w:p>
        </w:tc>
      </w:tr>
      <w:tr w:rsidR="00A16774" w:rsidRPr="00884CF0" w14:paraId="28D6BED2" w14:textId="77777777" w:rsidTr="007620BB">
        <w:tc>
          <w:tcPr>
            <w:tcW w:w="1555" w:type="dxa"/>
          </w:tcPr>
          <w:p w14:paraId="5FD39283" w14:textId="695D491B" w:rsidR="00A16774" w:rsidRPr="00884CF0" w:rsidRDefault="002E1F9F" w:rsidP="002E1F9F">
            <w:pPr>
              <w:spacing w:line="312" w:lineRule="auto"/>
              <w:ind w:firstLine="0"/>
              <w:rPr>
                <w:lang w:val="sr-Cyrl-RS"/>
              </w:rPr>
            </w:pPr>
            <w:r w:rsidRPr="00884CF0">
              <w:rPr>
                <w:lang w:val="sr-Cyrl-RS"/>
              </w:rPr>
              <w:t>УП</w:t>
            </w:r>
            <w:r w:rsidR="00884CF0" w:rsidRPr="00884CF0">
              <w:rPr>
                <w:lang w:val="sr-Cyrl-RS"/>
              </w:rPr>
              <w:t>С</w:t>
            </w:r>
          </w:p>
        </w:tc>
        <w:tc>
          <w:tcPr>
            <w:tcW w:w="7461" w:type="dxa"/>
            <w:vAlign w:val="center"/>
          </w:tcPr>
          <w:p w14:paraId="52A897DC" w14:textId="12190EB3" w:rsidR="00A16774" w:rsidRPr="00884CF0" w:rsidRDefault="002E1F9F" w:rsidP="002E1F9F">
            <w:pPr>
              <w:spacing w:line="312" w:lineRule="auto"/>
              <w:ind w:firstLine="0"/>
              <w:rPr>
                <w:lang w:val="sr-Cyrl-RS"/>
              </w:rPr>
            </w:pPr>
            <w:r w:rsidRPr="00884CF0">
              <w:rPr>
                <w:lang w:val="sr-Cyrl-RS"/>
              </w:rPr>
              <w:t>Унија послодаваца</w:t>
            </w:r>
            <w:r w:rsidR="00884CF0" w:rsidRPr="00884CF0">
              <w:rPr>
                <w:lang w:val="sr-Cyrl-RS"/>
              </w:rPr>
              <w:t xml:space="preserve"> Србије</w:t>
            </w:r>
          </w:p>
        </w:tc>
      </w:tr>
      <w:tr w:rsidR="00A16774" w:rsidRPr="004D7EA5" w14:paraId="7CE77446" w14:textId="77777777" w:rsidTr="007620BB">
        <w:tc>
          <w:tcPr>
            <w:tcW w:w="1555" w:type="dxa"/>
          </w:tcPr>
          <w:p w14:paraId="51634758" w14:textId="5708FF17" w:rsidR="00A16774" w:rsidRPr="00884CF0" w:rsidRDefault="002E1F9F" w:rsidP="002E1F9F">
            <w:pPr>
              <w:spacing w:line="312" w:lineRule="auto"/>
              <w:ind w:firstLine="0"/>
              <w:rPr>
                <w:lang w:val="sr-Cyrl-RS"/>
              </w:rPr>
            </w:pPr>
            <w:r w:rsidRPr="00884CF0">
              <w:rPr>
                <w:lang w:val="sr-Cyrl-RS"/>
              </w:rPr>
              <w:t>ЗОСОВ</w:t>
            </w:r>
          </w:p>
        </w:tc>
        <w:tc>
          <w:tcPr>
            <w:tcW w:w="7461" w:type="dxa"/>
            <w:vAlign w:val="center"/>
          </w:tcPr>
          <w:p w14:paraId="68B4D8A1" w14:textId="170123D3" w:rsidR="00A16774" w:rsidRPr="00884CF0" w:rsidRDefault="002E1F9F" w:rsidP="002E1F9F">
            <w:pPr>
              <w:spacing w:line="312" w:lineRule="auto"/>
              <w:ind w:firstLine="0"/>
              <w:rPr>
                <w:lang w:val="sr-Cyrl-RS"/>
              </w:rPr>
            </w:pPr>
            <w:r w:rsidRPr="00884CF0">
              <w:rPr>
                <w:lang w:val="sr-Cyrl-RS"/>
              </w:rPr>
              <w:t>Закон о основама система образовања и васпитања</w:t>
            </w:r>
          </w:p>
        </w:tc>
      </w:tr>
      <w:tr w:rsidR="00A16774" w:rsidRPr="004D7EA5" w14:paraId="19003C84" w14:textId="77777777" w:rsidTr="007620BB">
        <w:tc>
          <w:tcPr>
            <w:tcW w:w="1555" w:type="dxa"/>
          </w:tcPr>
          <w:p w14:paraId="56648ED3" w14:textId="76E01679" w:rsidR="00A16774" w:rsidRPr="00884CF0" w:rsidRDefault="002E1F9F" w:rsidP="002E1F9F">
            <w:pPr>
              <w:spacing w:line="312" w:lineRule="auto"/>
              <w:ind w:firstLine="0"/>
              <w:rPr>
                <w:lang w:val="sr-Cyrl-RS"/>
              </w:rPr>
            </w:pPr>
            <w:r w:rsidRPr="00884CF0">
              <w:rPr>
                <w:lang w:val="sr-Cyrl-RS"/>
              </w:rPr>
              <w:t>ЗУОВ</w:t>
            </w:r>
          </w:p>
        </w:tc>
        <w:tc>
          <w:tcPr>
            <w:tcW w:w="7461" w:type="dxa"/>
            <w:vAlign w:val="center"/>
          </w:tcPr>
          <w:p w14:paraId="6AC815FB" w14:textId="48198B48" w:rsidR="00A16774" w:rsidRPr="00884CF0" w:rsidRDefault="002E1F9F" w:rsidP="002E1F9F">
            <w:pPr>
              <w:spacing w:line="312" w:lineRule="auto"/>
              <w:ind w:firstLine="0"/>
              <w:rPr>
                <w:lang w:val="sr-Cyrl-RS"/>
              </w:rPr>
            </w:pPr>
            <w:r w:rsidRPr="00884CF0">
              <w:rPr>
                <w:lang w:val="sr-Cyrl-RS"/>
              </w:rPr>
              <w:t>Завод за унапређивање образовања и васпитања</w:t>
            </w:r>
          </w:p>
        </w:tc>
      </w:tr>
      <w:tr w:rsidR="00A16774" w:rsidRPr="004D7EA5" w14:paraId="1D9DCA40" w14:textId="77777777" w:rsidTr="007620BB">
        <w:tc>
          <w:tcPr>
            <w:tcW w:w="1555" w:type="dxa"/>
          </w:tcPr>
          <w:p w14:paraId="391E5105" w14:textId="6D844B65" w:rsidR="00A16774" w:rsidRPr="00884CF0" w:rsidRDefault="002E1F9F" w:rsidP="002E1F9F">
            <w:pPr>
              <w:spacing w:line="312" w:lineRule="auto"/>
              <w:ind w:firstLine="0"/>
              <w:rPr>
                <w:lang w:val="sr-Cyrl-RS"/>
              </w:rPr>
            </w:pPr>
            <w:r w:rsidRPr="00884CF0">
              <w:rPr>
                <w:lang w:val="sr-Cyrl-RS"/>
              </w:rPr>
              <w:t>ЗВКОВ</w:t>
            </w:r>
          </w:p>
        </w:tc>
        <w:tc>
          <w:tcPr>
            <w:tcW w:w="7461" w:type="dxa"/>
            <w:vAlign w:val="center"/>
          </w:tcPr>
          <w:p w14:paraId="5B170814" w14:textId="254E4E2B" w:rsidR="00A16774" w:rsidRPr="00884CF0" w:rsidRDefault="002E1F9F" w:rsidP="002E1F9F">
            <w:pPr>
              <w:spacing w:line="312" w:lineRule="auto"/>
              <w:ind w:firstLine="0"/>
              <w:rPr>
                <w:lang w:val="sr-Cyrl-RS"/>
              </w:rPr>
            </w:pPr>
            <w:r w:rsidRPr="00884CF0">
              <w:rPr>
                <w:lang w:val="sr-Cyrl-RS"/>
              </w:rPr>
              <w:t>Завод за вредновање квалитета образовања и васпитања</w:t>
            </w:r>
          </w:p>
        </w:tc>
      </w:tr>
    </w:tbl>
    <w:p w14:paraId="675692DF" w14:textId="77777777" w:rsidR="00723313" w:rsidRPr="00884CF0" w:rsidRDefault="00723313">
      <w:pPr>
        <w:spacing w:line="240" w:lineRule="auto"/>
        <w:rPr>
          <w:rStyle w:val="italik"/>
          <w:rFonts w:eastAsiaTheme="majorEastAsia"/>
          <w:b/>
          <w:bCs/>
          <w:sz w:val="32"/>
          <w:lang w:val="sr-Cyrl-RS"/>
        </w:rPr>
      </w:pPr>
      <w:r w:rsidRPr="00884CF0">
        <w:rPr>
          <w:rStyle w:val="italik"/>
          <w:lang w:val="sr-Cyrl-RS"/>
        </w:rPr>
        <w:br w:type="page"/>
      </w:r>
    </w:p>
    <w:p w14:paraId="7163EBC1" w14:textId="41940A29" w:rsidR="009C346C" w:rsidRPr="00884CF0" w:rsidRDefault="009C346C" w:rsidP="002E1F9F">
      <w:pPr>
        <w:pStyle w:val="Heading1"/>
        <w:rPr>
          <w:rStyle w:val="italik"/>
          <w:lang w:val="sr-Cyrl-RS"/>
        </w:rPr>
      </w:pPr>
      <w:bookmarkStart w:id="2" w:name="_Toc119880816"/>
      <w:r w:rsidRPr="00884CF0">
        <w:rPr>
          <w:rStyle w:val="italik"/>
          <w:lang w:val="sr-Cyrl-RS"/>
        </w:rPr>
        <w:lastRenderedPageBreak/>
        <w:t xml:space="preserve">Увод и </w:t>
      </w:r>
      <w:r w:rsidR="00BE3F4B" w:rsidRPr="00884CF0">
        <w:rPr>
          <w:rStyle w:val="italik"/>
          <w:lang w:val="sr-Cyrl-RS"/>
        </w:rPr>
        <w:t>истраживачки контекст</w:t>
      </w:r>
      <w:bookmarkEnd w:id="2"/>
    </w:p>
    <w:p w14:paraId="169EA915" w14:textId="63E2F1C4" w:rsidR="00DB205B" w:rsidRPr="00884CF0" w:rsidRDefault="00DB205B" w:rsidP="002E1F9F">
      <w:pPr>
        <w:pStyle w:val="Heading2"/>
        <w:rPr>
          <w:rStyle w:val="italik"/>
          <w:lang w:val="sr-Cyrl-RS"/>
        </w:rPr>
      </w:pPr>
      <w:bookmarkStart w:id="3" w:name="_Toc119880817"/>
      <w:r w:rsidRPr="00884CF0">
        <w:rPr>
          <w:rStyle w:val="italik"/>
          <w:lang w:val="sr-Cyrl-RS"/>
        </w:rPr>
        <w:t>Развој НОКС-а</w:t>
      </w:r>
      <w:bookmarkEnd w:id="3"/>
    </w:p>
    <w:p w14:paraId="5EB268F5" w14:textId="0B20A9AD" w:rsidR="00AE32FF" w:rsidRPr="00884CF0" w:rsidRDefault="002E1F9F" w:rsidP="002E1F9F">
      <w:pPr>
        <w:spacing w:line="360" w:lineRule="auto"/>
        <w:rPr>
          <w:lang w:val="sr-Cyrl-RS"/>
        </w:rPr>
      </w:pPr>
      <w:r w:rsidRPr="00884CF0">
        <w:rPr>
          <w:lang w:val="sr-Cyrl-RS"/>
        </w:rPr>
        <w:t>Први циклус реформских активности у образовању окончан је 2020. године и реализован на основу Стратегије развоја образовања у Републици Србији до 2020. године. Један од четири дугорочна циља Стратегије био је остваривање релевантности образовања и његово усклађивање са потребама социо-економског развоја друштва. Значајан корак у постизању овог циља представљало је успостављање Националног оквира квалификација за целоживотно учење у Републици Србији (у даљем тексту НОКС). Поред успостављања законодавног и институционалног оквира за развој НОКС-а, Стратегија је као циљеве значајне за систем квалификација поставила и развој образовања одраслих, успостављање система акредитације програма неформалног образовања, стварање широке мреже пружалаца услуга образовања одраслих и најмање 7% популације одраслих у РС обухваћених неким од програма образовања одраслих; успостављање система сертификације претходног учења/признавање неформалног и информалног учења; успостављање Секторских већа (тела која чине експерти и представници социјалних партнера који послују у области које припадају једном сектору и која доносе одлуке везане за оквир квалификација у том сектору); развој свих планова и програма у средњем стручном образовању и васпитању на основу стандарда квалификације; и успостављање и функционисање система осигурања квалитета на нивоу НОКС-а кроз развој система акредитације, стандарда, праћења и евалуације</w:t>
      </w:r>
      <w:r w:rsidR="00AE32FF" w:rsidRPr="00884CF0">
        <w:rPr>
          <w:lang w:val="sr-Cyrl-RS"/>
        </w:rPr>
        <w:t>.</w:t>
      </w:r>
      <w:r w:rsidR="00AE32FF" w:rsidRPr="00884CF0">
        <w:rPr>
          <w:rStyle w:val="FootnoteReference"/>
          <w:lang w:val="sr-Cyrl-RS"/>
        </w:rPr>
        <w:footnoteReference w:id="1"/>
      </w:r>
    </w:p>
    <w:p w14:paraId="74083AB9" w14:textId="77777777" w:rsidR="002E1F9F" w:rsidRPr="00884CF0" w:rsidRDefault="002E1F9F" w:rsidP="002E1F9F">
      <w:pPr>
        <w:spacing w:line="360" w:lineRule="auto"/>
        <w:jc w:val="both"/>
        <w:rPr>
          <w:lang w:val="sr-Cyrl-RS"/>
        </w:rPr>
      </w:pPr>
      <w:r w:rsidRPr="00884CF0">
        <w:rPr>
          <w:lang w:val="sr-Cyrl-RS"/>
        </w:rPr>
        <w:t>Остваривање наведених циљева у протеклом периоду, поред средстава из националног буџета, било је подржано и ИПА средствима ЕУ, кроз пројекат „Развој интегрисаног националног система квалификација у Републици Србији“ (ИПА 2014) и секторску буџетску подршку „Реформа образовања у Србији – јачање везе са запошљавањем и социјалном инклузијом“ (ИПА 2016).</w:t>
      </w:r>
    </w:p>
    <w:p w14:paraId="7AC1D153" w14:textId="4F3FF965" w:rsidR="002E1F9F" w:rsidRPr="00884CF0" w:rsidRDefault="002E1F9F" w:rsidP="002E1F9F">
      <w:pPr>
        <w:spacing w:line="360" w:lineRule="auto"/>
        <w:jc w:val="both"/>
        <w:rPr>
          <w:lang w:val="sr-Cyrl-RS"/>
        </w:rPr>
      </w:pPr>
      <w:r w:rsidRPr="00884CF0">
        <w:rPr>
          <w:lang w:val="sr-Cyrl-RS"/>
        </w:rPr>
        <w:t xml:space="preserve">Развој НОКС-а у Србији је текао кроз два паралелна процеса. У 2008. години Национални савет за високо образовање развио је НОКС за високо образовање (нивои VI-VIII) у оквиру Болоњског процеса. Савет за стручно образовање и образовање одраслих је 2013. године усвојио документ НОКС за средње стручно образовање (нивои I до V), који је обухватао и формално и неформално образовање/квалификације. Након </w:t>
      </w:r>
      <w:r w:rsidRPr="00884CF0">
        <w:rPr>
          <w:lang w:val="sr-Cyrl-RS"/>
        </w:rPr>
        <w:lastRenderedPageBreak/>
        <w:t xml:space="preserve">ова два корака, у 2014. години Министарство просвете, науке и технолошког развоја формирало је експертску групу са задатком да развије обједињени национални оквир квалификација који би обухватио све нивое и врсте образовања и квалификација. Први корак је био развој документа „Нивои и дескриптори Националног оквира квалификација и класификација квалификација по нивоима у Србији“ који је 2016. године усвојен од стране Националног савета за високо образовање и Савета за стручно образовање и образовање одраслих. Експертска радна група развила је свеобухватни документ који је садржао све основне елементе НОКС-а, нивое и дескрипторе нивоа за све квалификације у Србији. Документ је био полазна основа за израду Закона о НОКС-у. </w:t>
      </w:r>
    </w:p>
    <w:p w14:paraId="788862BF" w14:textId="77777777" w:rsidR="002E1F9F" w:rsidRPr="00884CF0" w:rsidRDefault="002E1F9F" w:rsidP="002E1F9F">
      <w:pPr>
        <w:spacing w:line="360" w:lineRule="auto"/>
        <w:jc w:val="both"/>
        <w:rPr>
          <w:lang w:val="sr-Cyrl-RS"/>
        </w:rPr>
      </w:pPr>
      <w:r w:rsidRPr="00884CF0">
        <w:rPr>
          <w:lang w:val="sr-Cyrl-RS"/>
        </w:rPr>
        <w:t>Закон о Националном оквиру квалификација Републике Србије усвојен је 6. априла 2018. године. У августу 2018. године основан је Савет за НОКС, а у септембру исте године Влада РС је донела одлуку о успостављању Агенције за квалификације. На основу одлуке Савета за НОКС у децембру исте године Влада је основала дванаест Секторских већа која су конституисана и отпочела са својим радом. Коначно, у фебруару 2020. године НОКС је референциран према Европском оквиру квалификација.</w:t>
      </w:r>
    </w:p>
    <w:p w14:paraId="2341347F" w14:textId="77777777" w:rsidR="002E1F9F" w:rsidRPr="00884CF0" w:rsidRDefault="002E1F9F" w:rsidP="002E1F9F">
      <w:pPr>
        <w:spacing w:line="360" w:lineRule="auto"/>
        <w:rPr>
          <w:lang w:val="sr-Cyrl-RS"/>
        </w:rPr>
      </w:pPr>
      <w:r w:rsidRPr="00884CF0">
        <w:rPr>
          <w:lang w:val="sr-Cyrl-RS"/>
        </w:rPr>
        <w:t>Овим заокруженим активностима током протеклог периода је, у складу са циљевима предвиђеним Стратегијом развоја образовања у Републици Србији, успостављен нови и јединствени интегрисани национални оквир квалификација за целоживотно учење.</w:t>
      </w:r>
    </w:p>
    <w:p w14:paraId="333F7E4A" w14:textId="6B02316C" w:rsidR="00AE32FF" w:rsidRPr="00884CF0" w:rsidRDefault="00DB205B" w:rsidP="002E1F9F">
      <w:pPr>
        <w:pStyle w:val="Heading2"/>
        <w:rPr>
          <w:lang w:val="sr-Cyrl-RS"/>
        </w:rPr>
      </w:pPr>
      <w:bookmarkStart w:id="4" w:name="_Toc119880818"/>
      <w:r w:rsidRPr="00884CF0">
        <w:rPr>
          <w:lang w:val="sr-Cyrl-RS"/>
        </w:rPr>
        <w:t xml:space="preserve">Дефиниција </w:t>
      </w:r>
      <w:r w:rsidR="005C1F48" w:rsidRPr="00884CF0">
        <w:rPr>
          <w:lang w:val="sr-Cyrl-RS"/>
        </w:rPr>
        <w:t xml:space="preserve">и опис </w:t>
      </w:r>
      <w:r w:rsidRPr="00884CF0">
        <w:rPr>
          <w:lang w:val="sr-Cyrl-RS"/>
        </w:rPr>
        <w:t>НОКС-а</w:t>
      </w:r>
      <w:bookmarkEnd w:id="4"/>
    </w:p>
    <w:p w14:paraId="18CA4EEE" w14:textId="7D3A63FD" w:rsidR="00BE3F4B" w:rsidRPr="00884CF0" w:rsidRDefault="00BE3F4B" w:rsidP="00D935A8">
      <w:pPr>
        <w:spacing w:line="360" w:lineRule="auto"/>
        <w:ind w:firstLine="720"/>
        <w:jc w:val="both"/>
        <w:rPr>
          <w:lang w:val="sr-Cyrl-RS"/>
        </w:rPr>
      </w:pPr>
      <w:r w:rsidRPr="00884CF0">
        <w:rPr>
          <w:lang w:val="sr-Cyrl-RS"/>
        </w:rPr>
        <w:t xml:space="preserve">Национални оквир квалификација у Србији (НОКС) представља систем за описивање, уређивање и класификацију квалификација које се могу стећи кроз формално, неформално и информално образовање. Постојање оваквог система квалификација подразумева и постојање различитих механизама за обезбеђивање квалитета, те су под окриљем НОКС-а јасно дефинисани процеси и институције које су одговорне за утврђивање квалификација и њихових стандарда, као и начини и услови под којима се квалификације стичу, међусобно упоређују и препознају. Овако сачињен систем квалификација требало би да допринесе јасном утврђивању квалификације радне снаге и креирању образовних политика које су у складу са захтевима тржишта рада, али уједно и да допринесе задовољењу личних потреба појединаца у свету образовања и рада. </w:t>
      </w:r>
      <w:r w:rsidR="002E1F9F" w:rsidRPr="00884CF0">
        <w:rPr>
          <w:lang w:val="sr-Cyrl-RS"/>
        </w:rPr>
        <w:t>Национални</w:t>
      </w:r>
      <w:r w:rsidRPr="00884CF0">
        <w:rPr>
          <w:lang w:val="sr-Cyrl-RS"/>
        </w:rPr>
        <w:t xml:space="preserve"> оквир квалификација усклађен је са Европским оквиром квалификација што омогућава поређење националних квалификација са одговарајућим </w:t>
      </w:r>
      <w:r w:rsidRPr="00884CF0">
        <w:rPr>
          <w:lang w:val="sr-Cyrl-RS"/>
        </w:rPr>
        <w:lastRenderedPageBreak/>
        <w:t>квалификацијама у другим европским земљама у циљу наставка школовања или запошљавања.</w:t>
      </w:r>
    </w:p>
    <w:p w14:paraId="5A1BE000" w14:textId="77777777" w:rsidR="002E1F9F" w:rsidRPr="00884CF0" w:rsidRDefault="002E1F9F" w:rsidP="002E1F9F">
      <w:pPr>
        <w:spacing w:line="360" w:lineRule="auto"/>
        <w:ind w:firstLine="720"/>
        <w:jc w:val="both"/>
        <w:rPr>
          <w:lang w:val="sr-Cyrl-RS"/>
        </w:rPr>
      </w:pPr>
      <w:r w:rsidRPr="00884CF0">
        <w:rPr>
          <w:lang w:val="sr-Cyrl-RS"/>
        </w:rPr>
        <w:t>Оквир квалификација представља формализовану структуру у којој се квалификације распоређују по нивоима образовања на основу исхода учења, тј. онога што особа којој је издат одређени јавни документ (диплома, сертификат, уверење) зна, разуме и способна је да уради на крају процеса учења</w:t>
      </w:r>
      <w:r w:rsidRPr="00884CF0">
        <w:rPr>
          <w:rStyle w:val="FootnoteReference"/>
          <w:lang w:val="sr-Cyrl-RS"/>
        </w:rPr>
        <w:footnoteReference w:id="2"/>
      </w:r>
      <w:r w:rsidRPr="00884CF0">
        <w:rPr>
          <w:lang w:val="sr-Cyrl-RS"/>
        </w:rPr>
        <w:t>. Оквир квалификација олакшава разумевање и упоређивање квалификација и може се дефинисати на националном, регионалном и међународном нивоу. Оквири квалификација представљају кључну спону између света образовања и рада, те су веома значајно поље за реформу политика образовања, обуке и целоживотног учења.</w:t>
      </w:r>
    </w:p>
    <w:p w14:paraId="7A6D54E3" w14:textId="22A02F46" w:rsidR="002E1F9F" w:rsidRPr="00884CF0" w:rsidRDefault="002E1F9F" w:rsidP="002E1F9F">
      <w:pPr>
        <w:spacing w:line="360" w:lineRule="auto"/>
        <w:rPr>
          <w:lang w:val="sr-Cyrl-RS"/>
        </w:rPr>
      </w:pPr>
      <w:r w:rsidRPr="00884CF0">
        <w:rPr>
          <w:lang w:val="sr-Cyrl-RS"/>
        </w:rPr>
        <w:t>У Табели 1 упоредно је приказан нови и претходни систем квалификација, постојећих осам нивоа квалификација и врсте образовања кроз који се стиче. Новим системом квалификација обухваћени су сви нивои и врсте квалификација, без обзира на животно доба у коме се оне стичу и начин њиховог стицања (кроз формално или неформално образовање, односно информално учење, тј. животно или радно искуство). Формирањем таквог оквира квалификација омогућена је боља разумљивост, прегледност и транспарентност постојећих система квалификација.</w:t>
      </w:r>
    </w:p>
    <w:p w14:paraId="4510DB52" w14:textId="0D61AF6C" w:rsidR="001908CF" w:rsidRPr="00884CF0" w:rsidRDefault="002E1F9F" w:rsidP="007620BB">
      <w:pPr>
        <w:ind w:firstLine="0"/>
        <w:rPr>
          <w:i/>
          <w:iCs/>
          <w:szCs w:val="24"/>
          <w:lang w:val="sr-Cyrl-RS"/>
        </w:rPr>
      </w:pPr>
      <w:r w:rsidRPr="00884CF0">
        <w:rPr>
          <w:i/>
          <w:iCs/>
          <w:szCs w:val="24"/>
          <w:lang w:val="sr-Cyrl-RS"/>
        </w:rPr>
        <w:t>Табела 1: Упоредна табела нивоа квалификација и врста образовања</w:t>
      </w:r>
      <w:r w:rsidR="001908CF" w:rsidRPr="00884CF0">
        <w:rPr>
          <w:rStyle w:val="FootnoteReference"/>
          <w:i/>
          <w:iCs/>
          <w:szCs w:val="24"/>
          <w:lang w:val="sr-Cyrl-RS"/>
        </w:rPr>
        <w:footnoteReference w:id="3"/>
      </w:r>
    </w:p>
    <w:tbl>
      <w:tblPr>
        <w:tblStyle w:val="TableGrid"/>
        <w:tblW w:w="0" w:type="auto"/>
        <w:tblLook w:val="04A0" w:firstRow="1" w:lastRow="0" w:firstColumn="1" w:lastColumn="0" w:noHBand="0" w:noVBand="1"/>
      </w:tblPr>
      <w:tblGrid>
        <w:gridCol w:w="396"/>
        <w:gridCol w:w="516"/>
        <w:gridCol w:w="4031"/>
        <w:gridCol w:w="4117"/>
      </w:tblGrid>
      <w:tr w:rsidR="001908CF" w:rsidRPr="004D7EA5" w14:paraId="7252314B" w14:textId="77777777" w:rsidTr="0049288F">
        <w:tc>
          <w:tcPr>
            <w:tcW w:w="912" w:type="dxa"/>
            <w:gridSpan w:val="2"/>
            <w:vAlign w:val="center"/>
          </w:tcPr>
          <w:p w14:paraId="3CC2FA6C" w14:textId="68851C2D" w:rsidR="001908CF" w:rsidRPr="00884CF0" w:rsidRDefault="002E1F9F" w:rsidP="0049288F">
            <w:pPr>
              <w:spacing w:line="312" w:lineRule="auto"/>
              <w:ind w:firstLine="0"/>
              <w:jc w:val="center"/>
              <w:rPr>
                <w:lang w:val="sr-Cyrl-RS"/>
              </w:rPr>
            </w:pPr>
            <w:r w:rsidRPr="00884CF0">
              <w:rPr>
                <w:lang w:val="sr-Cyrl-RS"/>
              </w:rPr>
              <w:t>НОКС ниво</w:t>
            </w:r>
          </w:p>
        </w:tc>
        <w:tc>
          <w:tcPr>
            <w:tcW w:w="8374" w:type="dxa"/>
            <w:gridSpan w:val="2"/>
            <w:vAlign w:val="center"/>
          </w:tcPr>
          <w:p w14:paraId="1F0DDFDF" w14:textId="311AB47D" w:rsidR="001908CF" w:rsidRPr="00884CF0" w:rsidRDefault="002E1F9F" w:rsidP="0049288F">
            <w:pPr>
              <w:spacing w:line="312" w:lineRule="auto"/>
              <w:ind w:firstLine="0"/>
              <w:jc w:val="left"/>
              <w:rPr>
                <w:lang w:val="sr-Cyrl-RS"/>
              </w:rPr>
            </w:pPr>
            <w:r w:rsidRPr="00884CF0">
              <w:rPr>
                <w:lang w:val="sr-Cyrl-RS"/>
              </w:rPr>
              <w:t>Упоредна табела нивоа квалификација и врста образовања</w:t>
            </w:r>
          </w:p>
        </w:tc>
      </w:tr>
      <w:tr w:rsidR="001908CF" w:rsidRPr="00884CF0" w14:paraId="0BD2DD80" w14:textId="77777777" w:rsidTr="0049288F">
        <w:tc>
          <w:tcPr>
            <w:tcW w:w="912" w:type="dxa"/>
            <w:gridSpan w:val="2"/>
            <w:vAlign w:val="center"/>
          </w:tcPr>
          <w:p w14:paraId="563A0ECB" w14:textId="77777777" w:rsidR="001908CF" w:rsidRPr="00884CF0" w:rsidRDefault="001908CF" w:rsidP="0049288F">
            <w:pPr>
              <w:spacing w:line="312" w:lineRule="auto"/>
              <w:ind w:firstLine="0"/>
              <w:jc w:val="center"/>
              <w:rPr>
                <w:lang w:val="sr-Cyrl-RS"/>
              </w:rPr>
            </w:pPr>
          </w:p>
        </w:tc>
        <w:tc>
          <w:tcPr>
            <w:tcW w:w="4158" w:type="dxa"/>
            <w:vAlign w:val="center"/>
          </w:tcPr>
          <w:p w14:paraId="0C566807" w14:textId="688ADEA6" w:rsidR="001908CF" w:rsidRPr="00884CF0" w:rsidRDefault="002E1F9F" w:rsidP="0049288F">
            <w:pPr>
              <w:spacing w:line="312" w:lineRule="auto"/>
              <w:ind w:firstLine="0"/>
              <w:jc w:val="center"/>
              <w:rPr>
                <w:lang w:val="sr-Cyrl-RS"/>
              </w:rPr>
            </w:pPr>
            <w:r w:rsidRPr="00884CF0">
              <w:rPr>
                <w:lang w:val="sr-Cyrl-RS"/>
              </w:rPr>
              <w:t>актуелни систем</w:t>
            </w:r>
          </w:p>
        </w:tc>
        <w:tc>
          <w:tcPr>
            <w:tcW w:w="4216" w:type="dxa"/>
            <w:vAlign w:val="center"/>
          </w:tcPr>
          <w:p w14:paraId="69E185B2" w14:textId="328C6BD5" w:rsidR="001908CF" w:rsidRPr="00884CF0" w:rsidRDefault="002E1F9F" w:rsidP="0049288F">
            <w:pPr>
              <w:spacing w:line="312" w:lineRule="auto"/>
              <w:ind w:firstLine="0"/>
              <w:jc w:val="center"/>
              <w:rPr>
                <w:lang w:val="sr-Cyrl-RS"/>
              </w:rPr>
            </w:pPr>
            <w:r w:rsidRPr="00884CF0">
              <w:rPr>
                <w:lang w:val="sr-Cyrl-RS"/>
              </w:rPr>
              <w:t>претходни систем</w:t>
            </w:r>
          </w:p>
        </w:tc>
      </w:tr>
      <w:tr w:rsidR="001908CF" w:rsidRPr="00884CF0" w14:paraId="2F6BFD9A" w14:textId="77777777" w:rsidTr="0049288F">
        <w:tc>
          <w:tcPr>
            <w:tcW w:w="912" w:type="dxa"/>
            <w:gridSpan w:val="2"/>
            <w:vAlign w:val="center"/>
          </w:tcPr>
          <w:p w14:paraId="33883731" w14:textId="77777777" w:rsidR="001908CF" w:rsidRPr="00884CF0" w:rsidRDefault="001908CF" w:rsidP="0049288F">
            <w:pPr>
              <w:spacing w:line="312" w:lineRule="auto"/>
              <w:ind w:firstLine="0"/>
              <w:jc w:val="center"/>
              <w:rPr>
                <w:lang w:val="sr-Cyrl-RS"/>
              </w:rPr>
            </w:pPr>
            <w:r w:rsidRPr="00884CF0">
              <w:rPr>
                <w:lang w:val="sr-Cyrl-RS"/>
              </w:rPr>
              <w:t>1.</w:t>
            </w:r>
          </w:p>
        </w:tc>
        <w:tc>
          <w:tcPr>
            <w:tcW w:w="4158" w:type="dxa"/>
            <w:vAlign w:val="center"/>
          </w:tcPr>
          <w:p w14:paraId="08F805C3" w14:textId="77777777" w:rsidR="002E1F9F" w:rsidRPr="00884CF0" w:rsidRDefault="002E1F9F" w:rsidP="0049288F">
            <w:pPr>
              <w:spacing w:line="312" w:lineRule="auto"/>
              <w:ind w:firstLine="0"/>
              <w:jc w:val="left"/>
              <w:rPr>
                <w:lang w:val="sr-Cyrl-RS"/>
              </w:rPr>
            </w:pPr>
            <w:r w:rsidRPr="00884CF0">
              <w:rPr>
                <w:lang w:val="sr-Cyrl-RS"/>
              </w:rPr>
              <w:t>Основно образовање и васпитање</w:t>
            </w:r>
          </w:p>
          <w:p w14:paraId="2E01C748" w14:textId="77777777" w:rsidR="002E1F9F" w:rsidRPr="00884CF0" w:rsidRDefault="002E1F9F" w:rsidP="0049288F">
            <w:pPr>
              <w:spacing w:line="312" w:lineRule="auto"/>
              <w:ind w:firstLine="0"/>
              <w:jc w:val="left"/>
              <w:rPr>
                <w:lang w:val="sr-Cyrl-RS"/>
              </w:rPr>
            </w:pPr>
            <w:r w:rsidRPr="00884CF0">
              <w:rPr>
                <w:lang w:val="sr-Cyrl-RS"/>
              </w:rPr>
              <w:t>Основно образовање одраслих</w:t>
            </w:r>
          </w:p>
          <w:p w14:paraId="770E7388" w14:textId="5011A8F0" w:rsidR="001908CF" w:rsidRPr="00884CF0" w:rsidRDefault="002E1F9F" w:rsidP="0049288F">
            <w:pPr>
              <w:spacing w:line="312" w:lineRule="auto"/>
              <w:ind w:firstLine="0"/>
              <w:jc w:val="left"/>
              <w:rPr>
                <w:lang w:val="sr-Cyrl-RS"/>
              </w:rPr>
            </w:pPr>
            <w:r w:rsidRPr="00884CF0">
              <w:rPr>
                <w:lang w:val="sr-Cyrl-RS"/>
              </w:rPr>
              <w:t>Основно музичко/балетско образовање</w:t>
            </w:r>
          </w:p>
        </w:tc>
        <w:tc>
          <w:tcPr>
            <w:tcW w:w="4216" w:type="dxa"/>
            <w:vAlign w:val="center"/>
          </w:tcPr>
          <w:p w14:paraId="689FC4F9" w14:textId="77777777" w:rsidR="002E1F9F" w:rsidRPr="00884CF0" w:rsidRDefault="002E1F9F" w:rsidP="0049288F">
            <w:pPr>
              <w:spacing w:line="312" w:lineRule="auto"/>
              <w:ind w:firstLine="0"/>
              <w:jc w:val="left"/>
              <w:rPr>
                <w:lang w:val="sr-Cyrl-RS"/>
              </w:rPr>
            </w:pPr>
            <w:r w:rsidRPr="00884CF0">
              <w:rPr>
                <w:lang w:val="sr-Cyrl-RS"/>
              </w:rPr>
              <w:t>Неквалификовани (НК) радник</w:t>
            </w:r>
          </w:p>
          <w:p w14:paraId="3620C189" w14:textId="1954A789" w:rsidR="002E1F9F" w:rsidRPr="00884CF0" w:rsidRDefault="001908CF" w:rsidP="0049288F">
            <w:pPr>
              <w:spacing w:line="312" w:lineRule="auto"/>
              <w:ind w:firstLine="0"/>
              <w:jc w:val="left"/>
              <w:rPr>
                <w:lang w:val="sr-Cyrl-RS"/>
              </w:rPr>
            </w:pPr>
            <w:r w:rsidRPr="00884CF0">
              <w:rPr>
                <w:lang w:val="sr-Cyrl-RS"/>
              </w:rPr>
              <w:t xml:space="preserve">1. </w:t>
            </w:r>
            <w:r w:rsidR="002E1F9F" w:rsidRPr="00884CF0">
              <w:rPr>
                <w:lang w:val="sr-Cyrl-RS"/>
              </w:rPr>
              <w:t>степен стручне спреме (1. ССС)</w:t>
            </w:r>
          </w:p>
          <w:p w14:paraId="5B06D025" w14:textId="21AD885A" w:rsidR="001908CF" w:rsidRPr="00884CF0" w:rsidRDefault="001908CF" w:rsidP="0049288F">
            <w:pPr>
              <w:spacing w:line="312" w:lineRule="auto"/>
              <w:ind w:firstLine="0"/>
              <w:jc w:val="left"/>
              <w:rPr>
                <w:lang w:val="sr-Cyrl-RS"/>
              </w:rPr>
            </w:pPr>
          </w:p>
        </w:tc>
      </w:tr>
      <w:tr w:rsidR="001908CF" w:rsidRPr="00884CF0" w14:paraId="1A517377" w14:textId="77777777" w:rsidTr="0049288F">
        <w:tc>
          <w:tcPr>
            <w:tcW w:w="912" w:type="dxa"/>
            <w:gridSpan w:val="2"/>
            <w:vAlign w:val="center"/>
          </w:tcPr>
          <w:p w14:paraId="5CECB9EF" w14:textId="77777777" w:rsidR="001908CF" w:rsidRPr="00884CF0" w:rsidRDefault="001908CF" w:rsidP="0049288F">
            <w:pPr>
              <w:spacing w:line="312" w:lineRule="auto"/>
              <w:ind w:firstLine="0"/>
              <w:jc w:val="center"/>
              <w:rPr>
                <w:lang w:val="sr-Cyrl-RS"/>
              </w:rPr>
            </w:pPr>
            <w:r w:rsidRPr="00884CF0">
              <w:rPr>
                <w:lang w:val="sr-Cyrl-RS"/>
              </w:rPr>
              <w:t>2.</w:t>
            </w:r>
          </w:p>
        </w:tc>
        <w:tc>
          <w:tcPr>
            <w:tcW w:w="4158" w:type="dxa"/>
            <w:vAlign w:val="center"/>
          </w:tcPr>
          <w:p w14:paraId="6DC2D2D6" w14:textId="77777777" w:rsidR="002E1F9F" w:rsidRPr="00884CF0" w:rsidRDefault="002E1F9F" w:rsidP="0049288F">
            <w:pPr>
              <w:spacing w:line="312" w:lineRule="auto"/>
              <w:ind w:firstLine="0"/>
              <w:jc w:val="left"/>
              <w:rPr>
                <w:lang w:val="sr-Cyrl-RS"/>
              </w:rPr>
            </w:pPr>
            <w:r w:rsidRPr="00884CF0">
              <w:rPr>
                <w:lang w:val="sr-Cyrl-RS"/>
              </w:rPr>
              <w:t>Стручно оспособљавање (1 год)</w:t>
            </w:r>
          </w:p>
          <w:p w14:paraId="661F5AAB" w14:textId="77777777" w:rsidR="002E1F9F" w:rsidRPr="00884CF0" w:rsidRDefault="002E1F9F" w:rsidP="0049288F">
            <w:pPr>
              <w:spacing w:line="312" w:lineRule="auto"/>
              <w:ind w:firstLine="0"/>
              <w:jc w:val="left"/>
              <w:rPr>
                <w:lang w:val="sr-Cyrl-RS"/>
              </w:rPr>
            </w:pPr>
            <w:r w:rsidRPr="00884CF0">
              <w:rPr>
                <w:lang w:val="sr-Cyrl-RS"/>
              </w:rPr>
              <w:t>Образовање за рад (2 год)</w:t>
            </w:r>
          </w:p>
          <w:p w14:paraId="2C80D777" w14:textId="51F4A176" w:rsidR="001908CF" w:rsidRPr="00884CF0" w:rsidRDefault="002E1F9F" w:rsidP="0049288F">
            <w:pPr>
              <w:spacing w:line="312" w:lineRule="auto"/>
              <w:ind w:firstLine="0"/>
              <w:jc w:val="left"/>
              <w:rPr>
                <w:lang w:val="sr-Cyrl-RS"/>
              </w:rPr>
            </w:pPr>
            <w:r w:rsidRPr="00884CF0">
              <w:rPr>
                <w:lang w:val="sr-Cyrl-RS"/>
              </w:rPr>
              <w:t>Обучавање (120-360 сати обуке)</w:t>
            </w:r>
          </w:p>
        </w:tc>
        <w:tc>
          <w:tcPr>
            <w:tcW w:w="4216" w:type="dxa"/>
            <w:vAlign w:val="center"/>
          </w:tcPr>
          <w:p w14:paraId="2CEE0200" w14:textId="77777777" w:rsidR="002E1F9F" w:rsidRPr="00884CF0" w:rsidRDefault="002E1F9F" w:rsidP="0049288F">
            <w:pPr>
              <w:spacing w:line="312" w:lineRule="auto"/>
              <w:ind w:firstLine="0"/>
              <w:jc w:val="left"/>
              <w:rPr>
                <w:lang w:val="sr-Cyrl-RS"/>
              </w:rPr>
            </w:pPr>
            <w:r w:rsidRPr="00884CF0">
              <w:rPr>
                <w:lang w:val="sr-Cyrl-RS"/>
              </w:rPr>
              <w:t>Полуквалификовани (ПК) радник</w:t>
            </w:r>
          </w:p>
          <w:p w14:paraId="41CF8A2C" w14:textId="0B1A2D39" w:rsidR="002E1F9F" w:rsidRPr="00884CF0" w:rsidRDefault="002E1F9F" w:rsidP="0049288F">
            <w:pPr>
              <w:spacing w:line="312" w:lineRule="auto"/>
              <w:ind w:firstLine="0"/>
              <w:jc w:val="left"/>
              <w:rPr>
                <w:lang w:val="sr-Cyrl-RS"/>
              </w:rPr>
            </w:pPr>
            <w:r w:rsidRPr="00884CF0">
              <w:rPr>
                <w:lang w:val="sr-Cyrl-RS"/>
              </w:rPr>
              <w:t>2. степен стручне спреме (2.</w:t>
            </w:r>
            <w:r w:rsidR="0049288F" w:rsidRPr="00884CF0">
              <w:rPr>
                <w:lang w:val="sr-Cyrl-RS"/>
              </w:rPr>
              <w:t xml:space="preserve"> </w:t>
            </w:r>
            <w:r w:rsidRPr="00884CF0">
              <w:rPr>
                <w:lang w:val="sr-Cyrl-RS"/>
              </w:rPr>
              <w:t>ССС)</w:t>
            </w:r>
          </w:p>
          <w:p w14:paraId="77EB560F" w14:textId="53E90191" w:rsidR="001908CF" w:rsidRPr="00884CF0" w:rsidRDefault="001908CF" w:rsidP="0049288F">
            <w:pPr>
              <w:spacing w:line="312" w:lineRule="auto"/>
              <w:ind w:firstLine="0"/>
              <w:jc w:val="left"/>
              <w:rPr>
                <w:lang w:val="sr-Cyrl-RS"/>
              </w:rPr>
            </w:pPr>
          </w:p>
        </w:tc>
      </w:tr>
      <w:tr w:rsidR="001908CF" w:rsidRPr="00884CF0" w14:paraId="55A6E7DE" w14:textId="77777777" w:rsidTr="0049288F">
        <w:tc>
          <w:tcPr>
            <w:tcW w:w="912" w:type="dxa"/>
            <w:gridSpan w:val="2"/>
            <w:vAlign w:val="center"/>
          </w:tcPr>
          <w:p w14:paraId="41C75301" w14:textId="77777777" w:rsidR="001908CF" w:rsidRPr="00884CF0" w:rsidRDefault="001908CF" w:rsidP="0049288F">
            <w:pPr>
              <w:spacing w:line="312" w:lineRule="auto"/>
              <w:ind w:firstLine="0"/>
              <w:jc w:val="center"/>
              <w:rPr>
                <w:lang w:val="sr-Cyrl-RS"/>
              </w:rPr>
            </w:pPr>
            <w:r w:rsidRPr="00884CF0">
              <w:rPr>
                <w:lang w:val="sr-Cyrl-RS"/>
              </w:rPr>
              <w:t>3.</w:t>
            </w:r>
          </w:p>
        </w:tc>
        <w:tc>
          <w:tcPr>
            <w:tcW w:w="4158" w:type="dxa"/>
            <w:vAlign w:val="center"/>
          </w:tcPr>
          <w:p w14:paraId="325C1D0A" w14:textId="77777777" w:rsidR="002E1F9F" w:rsidRPr="00884CF0" w:rsidRDefault="002E1F9F" w:rsidP="0049288F">
            <w:pPr>
              <w:spacing w:line="312" w:lineRule="auto"/>
              <w:ind w:firstLine="0"/>
              <w:jc w:val="left"/>
              <w:rPr>
                <w:lang w:val="sr-Cyrl-RS"/>
              </w:rPr>
            </w:pPr>
            <w:r w:rsidRPr="00884CF0">
              <w:rPr>
                <w:lang w:val="sr-Cyrl-RS"/>
              </w:rPr>
              <w:t>Средње стручно образовање (3 год)</w:t>
            </w:r>
          </w:p>
          <w:p w14:paraId="14A3FB0F" w14:textId="4959F5BD" w:rsidR="001908CF" w:rsidRPr="00884CF0" w:rsidRDefault="002E1F9F" w:rsidP="0049288F">
            <w:pPr>
              <w:spacing w:line="312" w:lineRule="auto"/>
              <w:ind w:firstLine="0"/>
              <w:jc w:val="left"/>
              <w:rPr>
                <w:lang w:val="sr-Cyrl-RS"/>
              </w:rPr>
            </w:pPr>
            <w:r w:rsidRPr="00884CF0">
              <w:rPr>
                <w:lang w:val="sr-Cyrl-RS"/>
              </w:rPr>
              <w:t>Неформално образовање одраслих (мин. 960 сати обуке)</w:t>
            </w:r>
          </w:p>
        </w:tc>
        <w:tc>
          <w:tcPr>
            <w:tcW w:w="4216" w:type="dxa"/>
            <w:vAlign w:val="center"/>
          </w:tcPr>
          <w:p w14:paraId="38992D8B" w14:textId="77777777" w:rsidR="002E1F9F" w:rsidRPr="00884CF0" w:rsidRDefault="002E1F9F" w:rsidP="0049288F">
            <w:pPr>
              <w:spacing w:line="312" w:lineRule="auto"/>
              <w:ind w:firstLine="0"/>
              <w:jc w:val="left"/>
              <w:rPr>
                <w:lang w:val="sr-Cyrl-RS"/>
              </w:rPr>
            </w:pPr>
            <w:r w:rsidRPr="00884CF0">
              <w:rPr>
                <w:lang w:val="sr-Cyrl-RS"/>
              </w:rPr>
              <w:t>Квалификовани (КВ) радник</w:t>
            </w:r>
          </w:p>
          <w:p w14:paraId="67750D54" w14:textId="064598AF" w:rsidR="002E1F9F" w:rsidRPr="00884CF0" w:rsidRDefault="002E1F9F" w:rsidP="0049288F">
            <w:pPr>
              <w:spacing w:line="312" w:lineRule="auto"/>
              <w:ind w:firstLine="0"/>
              <w:jc w:val="left"/>
              <w:rPr>
                <w:lang w:val="sr-Cyrl-RS"/>
              </w:rPr>
            </w:pPr>
            <w:r w:rsidRPr="00884CF0">
              <w:rPr>
                <w:lang w:val="sr-Cyrl-RS"/>
              </w:rPr>
              <w:t>3. степен стручне спреме (3.</w:t>
            </w:r>
            <w:r w:rsidR="0049288F" w:rsidRPr="00884CF0">
              <w:rPr>
                <w:lang w:val="sr-Cyrl-RS"/>
              </w:rPr>
              <w:t xml:space="preserve"> </w:t>
            </w:r>
            <w:r w:rsidRPr="00884CF0">
              <w:rPr>
                <w:lang w:val="sr-Cyrl-RS"/>
              </w:rPr>
              <w:t>ССС)</w:t>
            </w:r>
          </w:p>
          <w:p w14:paraId="35032B75" w14:textId="4EB95FB3" w:rsidR="001908CF" w:rsidRPr="00884CF0" w:rsidRDefault="001908CF" w:rsidP="0049288F">
            <w:pPr>
              <w:spacing w:line="312" w:lineRule="auto"/>
              <w:ind w:firstLine="0"/>
              <w:jc w:val="left"/>
              <w:rPr>
                <w:lang w:val="sr-Cyrl-RS"/>
              </w:rPr>
            </w:pPr>
          </w:p>
        </w:tc>
      </w:tr>
      <w:tr w:rsidR="001908CF" w:rsidRPr="00884CF0" w14:paraId="089BA5F5" w14:textId="77777777" w:rsidTr="0049288F">
        <w:tc>
          <w:tcPr>
            <w:tcW w:w="912" w:type="dxa"/>
            <w:gridSpan w:val="2"/>
            <w:vAlign w:val="center"/>
          </w:tcPr>
          <w:p w14:paraId="7F1A0A9C" w14:textId="77777777" w:rsidR="001908CF" w:rsidRPr="00884CF0" w:rsidRDefault="001908CF" w:rsidP="0049288F">
            <w:pPr>
              <w:spacing w:line="312" w:lineRule="auto"/>
              <w:ind w:firstLine="0"/>
              <w:jc w:val="center"/>
              <w:rPr>
                <w:lang w:val="sr-Cyrl-RS"/>
              </w:rPr>
            </w:pPr>
            <w:r w:rsidRPr="00884CF0">
              <w:rPr>
                <w:lang w:val="sr-Cyrl-RS"/>
              </w:rPr>
              <w:lastRenderedPageBreak/>
              <w:t>4.</w:t>
            </w:r>
          </w:p>
        </w:tc>
        <w:tc>
          <w:tcPr>
            <w:tcW w:w="4158" w:type="dxa"/>
            <w:vAlign w:val="center"/>
          </w:tcPr>
          <w:p w14:paraId="2515F025" w14:textId="1B352D0D" w:rsidR="001908CF" w:rsidRPr="00884CF0" w:rsidRDefault="0049288F" w:rsidP="0049288F">
            <w:pPr>
              <w:spacing w:line="312" w:lineRule="auto"/>
              <w:ind w:firstLine="0"/>
              <w:jc w:val="left"/>
              <w:rPr>
                <w:lang w:val="sr-Cyrl-RS"/>
              </w:rPr>
            </w:pPr>
            <w:r w:rsidRPr="00884CF0">
              <w:rPr>
                <w:lang w:val="sr-Cyrl-RS"/>
              </w:rPr>
              <w:t>Средње образовање у трајању од 4 год. (стручно, уметничко, гимназијско)</w:t>
            </w:r>
          </w:p>
        </w:tc>
        <w:tc>
          <w:tcPr>
            <w:tcW w:w="4216" w:type="dxa"/>
            <w:vAlign w:val="center"/>
          </w:tcPr>
          <w:p w14:paraId="0069DB3F" w14:textId="36FF3529" w:rsidR="0049288F" w:rsidRPr="00884CF0" w:rsidRDefault="001908CF" w:rsidP="0049288F">
            <w:pPr>
              <w:spacing w:line="312" w:lineRule="auto"/>
              <w:ind w:firstLine="0"/>
              <w:jc w:val="left"/>
              <w:rPr>
                <w:lang w:val="sr-Cyrl-RS"/>
              </w:rPr>
            </w:pPr>
            <w:r w:rsidRPr="00884CF0">
              <w:rPr>
                <w:lang w:val="sr-Cyrl-RS"/>
              </w:rPr>
              <w:t xml:space="preserve">4. </w:t>
            </w:r>
            <w:r w:rsidR="0049288F" w:rsidRPr="00884CF0">
              <w:rPr>
                <w:lang w:val="sr-Cyrl-RS"/>
              </w:rPr>
              <w:t>степен стручне спреме (4. ССС)</w:t>
            </w:r>
          </w:p>
          <w:p w14:paraId="55AA7D74" w14:textId="780CA19A" w:rsidR="001908CF" w:rsidRPr="00884CF0" w:rsidRDefault="001908CF" w:rsidP="0049288F">
            <w:pPr>
              <w:spacing w:line="312" w:lineRule="auto"/>
              <w:ind w:firstLine="0"/>
              <w:jc w:val="left"/>
              <w:rPr>
                <w:lang w:val="sr-Cyrl-RS"/>
              </w:rPr>
            </w:pPr>
          </w:p>
        </w:tc>
      </w:tr>
      <w:tr w:rsidR="001908CF" w:rsidRPr="00884CF0" w14:paraId="2D676B29" w14:textId="77777777" w:rsidTr="0049288F">
        <w:tc>
          <w:tcPr>
            <w:tcW w:w="912" w:type="dxa"/>
            <w:gridSpan w:val="2"/>
            <w:vAlign w:val="center"/>
          </w:tcPr>
          <w:p w14:paraId="563A612C" w14:textId="77777777" w:rsidR="001908CF" w:rsidRPr="00884CF0" w:rsidRDefault="001908CF" w:rsidP="0049288F">
            <w:pPr>
              <w:spacing w:line="312" w:lineRule="auto"/>
              <w:ind w:firstLine="0"/>
              <w:jc w:val="center"/>
              <w:rPr>
                <w:lang w:val="sr-Cyrl-RS"/>
              </w:rPr>
            </w:pPr>
            <w:r w:rsidRPr="00884CF0">
              <w:rPr>
                <w:lang w:val="sr-Cyrl-RS"/>
              </w:rPr>
              <w:t>5.</w:t>
            </w:r>
          </w:p>
        </w:tc>
        <w:tc>
          <w:tcPr>
            <w:tcW w:w="4158" w:type="dxa"/>
            <w:vAlign w:val="center"/>
          </w:tcPr>
          <w:p w14:paraId="18AEC588" w14:textId="620E19F2" w:rsidR="001908CF" w:rsidRPr="00884CF0" w:rsidRDefault="0049288F" w:rsidP="0049288F">
            <w:pPr>
              <w:spacing w:line="312" w:lineRule="auto"/>
              <w:ind w:firstLine="0"/>
              <w:jc w:val="left"/>
              <w:rPr>
                <w:lang w:val="sr-Cyrl-RS"/>
              </w:rPr>
            </w:pPr>
            <w:r w:rsidRPr="00884CF0">
              <w:rPr>
                <w:lang w:val="sr-Cyrl-RS"/>
              </w:rPr>
              <w:t>Мајсторско и специјалистичко образовање</w:t>
            </w:r>
          </w:p>
        </w:tc>
        <w:tc>
          <w:tcPr>
            <w:tcW w:w="4216" w:type="dxa"/>
            <w:vAlign w:val="center"/>
          </w:tcPr>
          <w:p w14:paraId="604BD30A" w14:textId="77777777" w:rsidR="0049288F" w:rsidRPr="00884CF0" w:rsidRDefault="0049288F" w:rsidP="0049288F">
            <w:pPr>
              <w:spacing w:line="312" w:lineRule="auto"/>
              <w:ind w:firstLine="0"/>
              <w:jc w:val="left"/>
              <w:rPr>
                <w:lang w:val="sr-Cyrl-RS"/>
              </w:rPr>
            </w:pPr>
            <w:r w:rsidRPr="00884CF0">
              <w:rPr>
                <w:lang w:val="sr-Cyrl-RS"/>
              </w:rPr>
              <w:t>Висококвалификовани (ВКВ) радник</w:t>
            </w:r>
          </w:p>
          <w:p w14:paraId="41D1EC6A" w14:textId="77A73996" w:rsidR="001908CF" w:rsidRPr="00884CF0" w:rsidRDefault="0049288F" w:rsidP="0049288F">
            <w:pPr>
              <w:spacing w:line="312" w:lineRule="auto"/>
              <w:ind w:firstLine="0"/>
              <w:jc w:val="left"/>
              <w:rPr>
                <w:lang w:val="sr-Cyrl-RS"/>
              </w:rPr>
            </w:pPr>
            <w:r w:rsidRPr="00884CF0">
              <w:rPr>
                <w:lang w:val="sr-Cyrl-RS"/>
              </w:rPr>
              <w:t>5. степен стручне спреме (5. ССС</w:t>
            </w:r>
            <w:r w:rsidR="001908CF" w:rsidRPr="00884CF0">
              <w:rPr>
                <w:lang w:val="sr-Cyrl-RS"/>
              </w:rPr>
              <w:t>)</w:t>
            </w:r>
          </w:p>
        </w:tc>
      </w:tr>
      <w:tr w:rsidR="001908CF" w:rsidRPr="004D7EA5" w14:paraId="3930F066" w14:textId="77777777" w:rsidTr="0049288F">
        <w:trPr>
          <w:trHeight w:val="760"/>
        </w:trPr>
        <w:tc>
          <w:tcPr>
            <w:tcW w:w="396" w:type="dxa"/>
            <w:vMerge w:val="restart"/>
            <w:vAlign w:val="center"/>
          </w:tcPr>
          <w:p w14:paraId="7386D6C3" w14:textId="77777777" w:rsidR="001908CF" w:rsidRPr="00884CF0" w:rsidRDefault="001908CF" w:rsidP="0049288F">
            <w:pPr>
              <w:spacing w:line="312" w:lineRule="auto"/>
              <w:ind w:firstLine="0"/>
              <w:jc w:val="center"/>
              <w:rPr>
                <w:lang w:val="sr-Cyrl-RS"/>
              </w:rPr>
            </w:pPr>
            <w:r w:rsidRPr="00884CF0">
              <w:rPr>
                <w:lang w:val="sr-Cyrl-RS"/>
              </w:rPr>
              <w:t>6.</w:t>
            </w:r>
          </w:p>
        </w:tc>
        <w:tc>
          <w:tcPr>
            <w:tcW w:w="516" w:type="dxa"/>
            <w:vAlign w:val="center"/>
          </w:tcPr>
          <w:p w14:paraId="16E9F300" w14:textId="77777777" w:rsidR="001908CF" w:rsidRPr="00884CF0" w:rsidRDefault="001908CF" w:rsidP="0049288F">
            <w:pPr>
              <w:spacing w:line="312" w:lineRule="auto"/>
              <w:ind w:firstLine="0"/>
              <w:jc w:val="center"/>
              <w:rPr>
                <w:lang w:val="sr-Cyrl-RS"/>
              </w:rPr>
            </w:pPr>
            <w:r w:rsidRPr="00884CF0">
              <w:rPr>
                <w:lang w:val="sr-Cyrl-RS"/>
              </w:rPr>
              <w:t>6.1</w:t>
            </w:r>
          </w:p>
        </w:tc>
        <w:tc>
          <w:tcPr>
            <w:tcW w:w="4158" w:type="dxa"/>
            <w:vAlign w:val="center"/>
          </w:tcPr>
          <w:p w14:paraId="281BF9BA" w14:textId="56793DE2" w:rsidR="001908CF" w:rsidRPr="00884CF0" w:rsidRDefault="0049288F" w:rsidP="0049288F">
            <w:pPr>
              <w:spacing w:line="312" w:lineRule="auto"/>
              <w:ind w:firstLine="0"/>
              <w:jc w:val="left"/>
              <w:rPr>
                <w:lang w:val="sr-Cyrl-RS"/>
              </w:rPr>
            </w:pPr>
            <w:r w:rsidRPr="00884CF0">
              <w:rPr>
                <w:lang w:val="sr-Cyrl-RS"/>
              </w:rPr>
              <w:t>Основне академске студије</w:t>
            </w:r>
          </w:p>
          <w:p w14:paraId="54482D49" w14:textId="524C947D" w:rsidR="001908CF" w:rsidRPr="00884CF0" w:rsidRDefault="001908CF" w:rsidP="0049288F">
            <w:pPr>
              <w:spacing w:line="312" w:lineRule="auto"/>
              <w:ind w:firstLine="0"/>
              <w:jc w:val="left"/>
              <w:rPr>
                <w:lang w:val="sr-Cyrl-RS"/>
              </w:rPr>
            </w:pPr>
            <w:r w:rsidRPr="00884CF0">
              <w:rPr>
                <w:lang w:val="sr-Cyrl-RS"/>
              </w:rPr>
              <w:t>(</w:t>
            </w:r>
            <w:r w:rsidR="0049288F" w:rsidRPr="00884CF0">
              <w:rPr>
                <w:lang w:val="sr-Cyrl-RS"/>
              </w:rPr>
              <w:t>ОАС</w:t>
            </w:r>
            <w:r w:rsidRPr="00884CF0">
              <w:rPr>
                <w:lang w:val="sr-Cyrl-RS"/>
              </w:rPr>
              <w:t xml:space="preserve">, 180 </w:t>
            </w:r>
            <w:r w:rsidR="0049288F" w:rsidRPr="00884CF0">
              <w:rPr>
                <w:lang w:val="sr-Cyrl-RS"/>
              </w:rPr>
              <w:t>ЕСПБ</w:t>
            </w:r>
            <w:r w:rsidRPr="00884CF0">
              <w:rPr>
                <w:lang w:val="sr-Cyrl-RS"/>
              </w:rPr>
              <w:t>)</w:t>
            </w:r>
          </w:p>
          <w:p w14:paraId="6FFE25C1" w14:textId="559B8311" w:rsidR="001908CF" w:rsidRPr="00884CF0" w:rsidRDefault="0049288F" w:rsidP="0049288F">
            <w:pPr>
              <w:spacing w:line="312" w:lineRule="auto"/>
              <w:ind w:firstLine="0"/>
              <w:jc w:val="left"/>
              <w:rPr>
                <w:lang w:val="sr-Cyrl-RS"/>
              </w:rPr>
            </w:pPr>
            <w:r w:rsidRPr="00884CF0">
              <w:rPr>
                <w:lang w:val="sr-Cyrl-RS"/>
              </w:rPr>
              <w:t>Основне струковне студије</w:t>
            </w:r>
          </w:p>
          <w:p w14:paraId="03FB4DF6" w14:textId="6C301243" w:rsidR="001908CF" w:rsidRPr="00884CF0" w:rsidRDefault="001908CF" w:rsidP="0049288F">
            <w:pPr>
              <w:spacing w:line="312" w:lineRule="auto"/>
              <w:ind w:firstLine="0"/>
              <w:jc w:val="left"/>
              <w:rPr>
                <w:lang w:val="sr-Cyrl-RS"/>
              </w:rPr>
            </w:pPr>
            <w:r w:rsidRPr="00884CF0">
              <w:rPr>
                <w:lang w:val="sr-Cyrl-RS"/>
              </w:rPr>
              <w:t>(</w:t>
            </w:r>
            <w:r w:rsidR="0049288F" w:rsidRPr="00884CF0">
              <w:rPr>
                <w:lang w:val="sr-Cyrl-RS"/>
              </w:rPr>
              <w:t>ОСС</w:t>
            </w:r>
            <w:r w:rsidRPr="00884CF0">
              <w:rPr>
                <w:lang w:val="sr-Cyrl-RS"/>
              </w:rPr>
              <w:t xml:space="preserve">, 180 </w:t>
            </w:r>
            <w:r w:rsidR="0049288F" w:rsidRPr="00884CF0">
              <w:rPr>
                <w:lang w:val="sr-Cyrl-RS"/>
              </w:rPr>
              <w:t>ЕСПБ</w:t>
            </w:r>
            <w:r w:rsidRPr="00884CF0">
              <w:rPr>
                <w:lang w:val="sr-Cyrl-RS"/>
              </w:rPr>
              <w:t>)</w:t>
            </w:r>
          </w:p>
        </w:tc>
        <w:tc>
          <w:tcPr>
            <w:tcW w:w="4216" w:type="dxa"/>
            <w:vAlign w:val="center"/>
          </w:tcPr>
          <w:p w14:paraId="4FD68F42" w14:textId="77777777" w:rsidR="0049288F" w:rsidRPr="00884CF0" w:rsidRDefault="0049288F" w:rsidP="0049288F">
            <w:pPr>
              <w:spacing w:line="312" w:lineRule="auto"/>
              <w:ind w:firstLine="0"/>
              <w:jc w:val="left"/>
              <w:rPr>
                <w:lang w:val="sr-Cyrl-RS"/>
              </w:rPr>
            </w:pPr>
            <w:r w:rsidRPr="00884CF0">
              <w:rPr>
                <w:lang w:val="sr-Cyrl-RS"/>
              </w:rPr>
              <w:t>Више образовање у трајању од 2 до 3год студија (6.1 ССС)</w:t>
            </w:r>
          </w:p>
          <w:p w14:paraId="702792A0" w14:textId="49FFF8D2" w:rsidR="001908CF" w:rsidRPr="00884CF0" w:rsidRDefault="0049288F" w:rsidP="0049288F">
            <w:pPr>
              <w:spacing w:line="312" w:lineRule="auto"/>
              <w:ind w:firstLine="0"/>
              <w:jc w:val="left"/>
              <w:rPr>
                <w:lang w:val="sr-Cyrl-RS"/>
              </w:rPr>
            </w:pPr>
            <w:r w:rsidRPr="00884CF0">
              <w:rPr>
                <w:lang w:val="sr-Cyrl-RS"/>
              </w:rPr>
              <w:t>Први степен факултета (до 2005. год 6.1 ССС)</w:t>
            </w:r>
          </w:p>
        </w:tc>
      </w:tr>
      <w:tr w:rsidR="001908CF" w:rsidRPr="004D7EA5" w14:paraId="694243F3" w14:textId="77777777" w:rsidTr="0049288F">
        <w:trPr>
          <w:trHeight w:val="412"/>
        </w:trPr>
        <w:tc>
          <w:tcPr>
            <w:tcW w:w="396" w:type="dxa"/>
            <w:vMerge/>
            <w:vAlign w:val="center"/>
          </w:tcPr>
          <w:p w14:paraId="25833EAA" w14:textId="77777777" w:rsidR="001908CF" w:rsidRPr="00884CF0" w:rsidRDefault="001908CF" w:rsidP="0049288F">
            <w:pPr>
              <w:spacing w:line="312" w:lineRule="auto"/>
              <w:ind w:firstLine="0"/>
              <w:jc w:val="center"/>
              <w:rPr>
                <w:lang w:val="sr-Cyrl-RS"/>
              </w:rPr>
            </w:pPr>
          </w:p>
        </w:tc>
        <w:tc>
          <w:tcPr>
            <w:tcW w:w="516" w:type="dxa"/>
            <w:vAlign w:val="center"/>
          </w:tcPr>
          <w:p w14:paraId="3707CFC8" w14:textId="77777777" w:rsidR="001908CF" w:rsidRPr="00884CF0" w:rsidRDefault="001908CF" w:rsidP="0049288F">
            <w:pPr>
              <w:spacing w:line="312" w:lineRule="auto"/>
              <w:ind w:firstLine="0"/>
              <w:jc w:val="center"/>
              <w:rPr>
                <w:lang w:val="sr-Cyrl-RS"/>
              </w:rPr>
            </w:pPr>
            <w:r w:rsidRPr="00884CF0">
              <w:rPr>
                <w:lang w:val="sr-Cyrl-RS"/>
              </w:rPr>
              <w:t>6.2</w:t>
            </w:r>
          </w:p>
        </w:tc>
        <w:tc>
          <w:tcPr>
            <w:tcW w:w="4158" w:type="dxa"/>
            <w:vAlign w:val="center"/>
          </w:tcPr>
          <w:p w14:paraId="41BB0532" w14:textId="3FB94FA1" w:rsidR="001908CF" w:rsidRPr="00884CF0" w:rsidRDefault="0049288F" w:rsidP="0049288F">
            <w:pPr>
              <w:spacing w:line="312" w:lineRule="auto"/>
              <w:ind w:firstLine="0"/>
              <w:jc w:val="left"/>
              <w:rPr>
                <w:lang w:val="sr-Cyrl-RS"/>
              </w:rPr>
            </w:pPr>
            <w:r w:rsidRPr="00884CF0">
              <w:rPr>
                <w:lang w:val="sr-Cyrl-RS"/>
              </w:rPr>
              <w:t>Основне академске студије</w:t>
            </w:r>
          </w:p>
          <w:p w14:paraId="3EC32B54" w14:textId="33DACDF9" w:rsidR="001908CF" w:rsidRPr="00884CF0" w:rsidRDefault="001908CF" w:rsidP="0049288F">
            <w:pPr>
              <w:spacing w:line="312" w:lineRule="auto"/>
              <w:ind w:firstLine="0"/>
              <w:jc w:val="left"/>
              <w:rPr>
                <w:lang w:val="sr-Cyrl-RS"/>
              </w:rPr>
            </w:pPr>
            <w:r w:rsidRPr="00884CF0">
              <w:rPr>
                <w:lang w:val="sr-Cyrl-RS"/>
              </w:rPr>
              <w:t>(</w:t>
            </w:r>
            <w:r w:rsidR="0049288F" w:rsidRPr="00884CF0">
              <w:rPr>
                <w:lang w:val="sr-Cyrl-RS"/>
              </w:rPr>
              <w:t>ОАС</w:t>
            </w:r>
            <w:r w:rsidRPr="00884CF0">
              <w:rPr>
                <w:lang w:val="sr-Cyrl-RS"/>
              </w:rPr>
              <w:t xml:space="preserve">, 240 </w:t>
            </w:r>
            <w:r w:rsidR="0049288F" w:rsidRPr="00884CF0">
              <w:rPr>
                <w:lang w:val="sr-Cyrl-RS"/>
              </w:rPr>
              <w:t>ЕСПБ</w:t>
            </w:r>
            <w:r w:rsidRPr="00884CF0">
              <w:rPr>
                <w:lang w:val="sr-Cyrl-RS"/>
              </w:rPr>
              <w:t>)</w:t>
            </w:r>
          </w:p>
          <w:p w14:paraId="6061F906" w14:textId="1F89851D" w:rsidR="001908CF" w:rsidRPr="00884CF0" w:rsidRDefault="0049288F" w:rsidP="0049288F">
            <w:pPr>
              <w:spacing w:line="312" w:lineRule="auto"/>
              <w:ind w:firstLine="0"/>
              <w:jc w:val="left"/>
              <w:rPr>
                <w:lang w:val="sr-Cyrl-RS"/>
              </w:rPr>
            </w:pPr>
            <w:r w:rsidRPr="00884CF0">
              <w:rPr>
                <w:lang w:val="sr-Cyrl-RS"/>
              </w:rPr>
              <w:t>Специјалистичке струковне студије I степена</w:t>
            </w:r>
          </w:p>
          <w:p w14:paraId="3C79DCBA" w14:textId="6EFCFB39" w:rsidR="0049288F" w:rsidRPr="00884CF0" w:rsidRDefault="001908CF" w:rsidP="0049288F">
            <w:pPr>
              <w:spacing w:line="312" w:lineRule="auto"/>
              <w:ind w:firstLine="0"/>
              <w:jc w:val="left"/>
              <w:rPr>
                <w:lang w:val="sr-Cyrl-RS"/>
              </w:rPr>
            </w:pPr>
            <w:r w:rsidRPr="00884CF0">
              <w:rPr>
                <w:lang w:val="sr-Cyrl-RS"/>
              </w:rPr>
              <w:t>(</w:t>
            </w:r>
            <w:r w:rsidR="0049288F" w:rsidRPr="00884CF0">
              <w:rPr>
                <w:lang w:val="sr-Cyrl-RS"/>
              </w:rPr>
              <w:t>ССС</w:t>
            </w:r>
            <w:r w:rsidRPr="00884CF0">
              <w:rPr>
                <w:lang w:val="sr-Cyrl-RS"/>
              </w:rPr>
              <w:t xml:space="preserve"> 180+60 </w:t>
            </w:r>
            <w:r w:rsidR="0049288F" w:rsidRPr="00884CF0">
              <w:rPr>
                <w:lang w:val="sr-Cyrl-RS"/>
              </w:rPr>
              <w:t>ЕСПБ</w:t>
            </w:r>
            <w:r w:rsidRPr="00884CF0">
              <w:rPr>
                <w:lang w:val="sr-Cyrl-RS"/>
              </w:rPr>
              <w:t xml:space="preserve">, </w:t>
            </w:r>
            <w:r w:rsidR="0049288F" w:rsidRPr="00884CF0">
              <w:rPr>
                <w:lang w:val="sr-Cyrl-RS"/>
              </w:rPr>
              <w:t>стечене у складу са Законом о високом образовању који је на снази од</w:t>
            </w:r>
          </w:p>
          <w:p w14:paraId="299B4E45" w14:textId="2A15AC28" w:rsidR="001908CF" w:rsidRPr="00884CF0" w:rsidRDefault="001908CF" w:rsidP="0049288F">
            <w:pPr>
              <w:spacing w:line="312" w:lineRule="auto"/>
              <w:ind w:firstLine="0"/>
              <w:jc w:val="left"/>
              <w:rPr>
                <w:lang w:val="sr-Cyrl-RS"/>
              </w:rPr>
            </w:pPr>
            <w:r w:rsidRPr="00884CF0">
              <w:rPr>
                <w:lang w:val="sr-Cyrl-RS"/>
              </w:rPr>
              <w:t>7.10.2017)</w:t>
            </w:r>
          </w:p>
        </w:tc>
        <w:tc>
          <w:tcPr>
            <w:tcW w:w="4216" w:type="dxa"/>
            <w:vAlign w:val="center"/>
          </w:tcPr>
          <w:p w14:paraId="6917BA71" w14:textId="77777777" w:rsidR="0049288F" w:rsidRPr="00884CF0" w:rsidRDefault="0049288F" w:rsidP="0049288F">
            <w:pPr>
              <w:spacing w:line="312" w:lineRule="auto"/>
              <w:ind w:firstLine="0"/>
              <w:jc w:val="left"/>
              <w:rPr>
                <w:lang w:val="sr-Cyrl-RS"/>
              </w:rPr>
            </w:pPr>
            <w:r w:rsidRPr="00884CF0">
              <w:rPr>
                <w:lang w:val="sr-Cyrl-RS"/>
              </w:rPr>
              <w:t>Више образовање са специјализацијом у трајању до годину дана (6.2 ССС)</w:t>
            </w:r>
          </w:p>
          <w:p w14:paraId="461686E8" w14:textId="69792F48" w:rsidR="001908CF" w:rsidRPr="00884CF0" w:rsidRDefault="001908CF" w:rsidP="0049288F">
            <w:pPr>
              <w:spacing w:line="312" w:lineRule="auto"/>
              <w:ind w:firstLine="0"/>
              <w:jc w:val="left"/>
              <w:rPr>
                <w:lang w:val="sr-Cyrl-RS"/>
              </w:rPr>
            </w:pPr>
          </w:p>
        </w:tc>
      </w:tr>
      <w:tr w:rsidR="001908CF" w:rsidRPr="004D7EA5" w14:paraId="2F4176D5" w14:textId="77777777" w:rsidTr="0049288F">
        <w:trPr>
          <w:trHeight w:val="760"/>
        </w:trPr>
        <w:tc>
          <w:tcPr>
            <w:tcW w:w="396" w:type="dxa"/>
            <w:vMerge w:val="restart"/>
            <w:vAlign w:val="center"/>
          </w:tcPr>
          <w:p w14:paraId="2E35C108" w14:textId="77777777" w:rsidR="001908CF" w:rsidRPr="00884CF0" w:rsidRDefault="001908CF" w:rsidP="0049288F">
            <w:pPr>
              <w:spacing w:line="312" w:lineRule="auto"/>
              <w:ind w:firstLine="0"/>
              <w:jc w:val="center"/>
              <w:rPr>
                <w:lang w:val="sr-Cyrl-RS"/>
              </w:rPr>
            </w:pPr>
            <w:r w:rsidRPr="00884CF0">
              <w:rPr>
                <w:lang w:val="sr-Cyrl-RS"/>
              </w:rPr>
              <w:t>7.</w:t>
            </w:r>
          </w:p>
        </w:tc>
        <w:tc>
          <w:tcPr>
            <w:tcW w:w="516" w:type="dxa"/>
            <w:vAlign w:val="center"/>
          </w:tcPr>
          <w:p w14:paraId="5F3B1E21" w14:textId="77777777" w:rsidR="001908CF" w:rsidRPr="00884CF0" w:rsidRDefault="001908CF" w:rsidP="0049288F">
            <w:pPr>
              <w:spacing w:line="312" w:lineRule="auto"/>
              <w:ind w:firstLine="0"/>
              <w:jc w:val="center"/>
              <w:rPr>
                <w:lang w:val="sr-Cyrl-RS"/>
              </w:rPr>
            </w:pPr>
            <w:r w:rsidRPr="00884CF0">
              <w:rPr>
                <w:lang w:val="sr-Cyrl-RS"/>
              </w:rPr>
              <w:t>7.1</w:t>
            </w:r>
          </w:p>
        </w:tc>
        <w:tc>
          <w:tcPr>
            <w:tcW w:w="4158" w:type="dxa"/>
            <w:vAlign w:val="center"/>
          </w:tcPr>
          <w:p w14:paraId="47F3BD13" w14:textId="647FEAD0" w:rsidR="0049288F" w:rsidRPr="00884CF0" w:rsidRDefault="0049288F" w:rsidP="0049288F">
            <w:pPr>
              <w:spacing w:line="312" w:lineRule="auto"/>
              <w:ind w:firstLine="0"/>
              <w:jc w:val="left"/>
              <w:rPr>
                <w:lang w:val="sr-Cyrl-RS"/>
              </w:rPr>
            </w:pPr>
            <w:r w:rsidRPr="00884CF0">
              <w:rPr>
                <w:lang w:val="sr-Cyrl-RS"/>
              </w:rPr>
              <w:t xml:space="preserve">Интегрисане академске студије </w:t>
            </w:r>
          </w:p>
          <w:p w14:paraId="6CA9531F" w14:textId="77777777" w:rsidR="0049288F" w:rsidRPr="00884CF0" w:rsidRDefault="0049288F" w:rsidP="0049288F">
            <w:pPr>
              <w:spacing w:line="312" w:lineRule="auto"/>
              <w:ind w:firstLine="0"/>
              <w:jc w:val="left"/>
              <w:rPr>
                <w:lang w:val="sr-Cyrl-RS"/>
              </w:rPr>
            </w:pPr>
            <w:r w:rsidRPr="00884CF0">
              <w:rPr>
                <w:lang w:val="sr-Cyrl-RS"/>
              </w:rPr>
              <w:t>(ИАС, макс. 360 ЕСПБ)</w:t>
            </w:r>
          </w:p>
          <w:p w14:paraId="36E6C892" w14:textId="77777777" w:rsidR="0049288F" w:rsidRPr="00884CF0" w:rsidRDefault="0049288F" w:rsidP="0049288F">
            <w:pPr>
              <w:spacing w:line="312" w:lineRule="auto"/>
              <w:ind w:firstLine="0"/>
              <w:jc w:val="left"/>
              <w:rPr>
                <w:lang w:val="sr-Cyrl-RS"/>
              </w:rPr>
            </w:pPr>
            <w:r w:rsidRPr="00884CF0">
              <w:rPr>
                <w:lang w:val="sr-Cyrl-RS"/>
              </w:rPr>
              <w:t xml:space="preserve">Мастер академске студије </w:t>
            </w:r>
          </w:p>
          <w:p w14:paraId="4EA949B4" w14:textId="77777777" w:rsidR="0049288F" w:rsidRPr="00884CF0" w:rsidRDefault="0049288F" w:rsidP="0049288F">
            <w:pPr>
              <w:spacing w:line="312" w:lineRule="auto"/>
              <w:ind w:firstLine="0"/>
              <w:jc w:val="left"/>
              <w:rPr>
                <w:lang w:val="sr-Cyrl-RS"/>
              </w:rPr>
            </w:pPr>
            <w:r w:rsidRPr="00884CF0">
              <w:rPr>
                <w:lang w:val="sr-Cyrl-RS"/>
              </w:rPr>
              <w:t>(МАС, 180+120 или 240+60 ЕСПБ)</w:t>
            </w:r>
          </w:p>
          <w:p w14:paraId="4F7D4EDD" w14:textId="77777777" w:rsidR="0049288F" w:rsidRPr="00884CF0" w:rsidRDefault="0049288F" w:rsidP="0049288F">
            <w:pPr>
              <w:spacing w:line="312" w:lineRule="auto"/>
              <w:ind w:firstLine="0"/>
              <w:jc w:val="left"/>
              <w:rPr>
                <w:lang w:val="sr-Cyrl-RS"/>
              </w:rPr>
            </w:pPr>
            <w:r w:rsidRPr="00884CF0">
              <w:rPr>
                <w:lang w:val="sr-Cyrl-RS"/>
              </w:rPr>
              <w:t xml:space="preserve">Мастер струковне студије </w:t>
            </w:r>
          </w:p>
          <w:p w14:paraId="6FC8945C" w14:textId="7BF95B5D" w:rsidR="001908CF" w:rsidRPr="00884CF0" w:rsidRDefault="0049288F" w:rsidP="0049288F">
            <w:pPr>
              <w:spacing w:line="312" w:lineRule="auto"/>
              <w:ind w:firstLine="0"/>
              <w:jc w:val="left"/>
              <w:rPr>
                <w:lang w:val="sr-Cyrl-RS"/>
              </w:rPr>
            </w:pPr>
            <w:r w:rsidRPr="00884CF0">
              <w:rPr>
                <w:lang w:val="sr-Cyrl-RS"/>
              </w:rPr>
              <w:t>(МСС, 120 ЕСПБ)</w:t>
            </w:r>
          </w:p>
        </w:tc>
        <w:tc>
          <w:tcPr>
            <w:tcW w:w="4216" w:type="dxa"/>
            <w:vAlign w:val="center"/>
          </w:tcPr>
          <w:p w14:paraId="1354C0AB" w14:textId="7A3EA646" w:rsidR="0049288F" w:rsidRPr="00884CF0" w:rsidRDefault="0049288F" w:rsidP="0049288F">
            <w:pPr>
              <w:spacing w:line="312" w:lineRule="auto"/>
              <w:ind w:firstLine="0"/>
              <w:jc w:val="left"/>
              <w:rPr>
                <w:lang w:val="sr-Cyrl-RS"/>
              </w:rPr>
            </w:pPr>
            <w:r w:rsidRPr="00884CF0">
              <w:rPr>
                <w:lang w:val="sr-Cyrl-RS"/>
              </w:rPr>
              <w:t>Основне (дипломске) студије у трајању од четири до шест година (до 2005. године, 7.1 ССС)</w:t>
            </w:r>
          </w:p>
          <w:p w14:paraId="3057B181" w14:textId="6FDF19C9" w:rsidR="001908CF" w:rsidRPr="00884CF0" w:rsidRDefault="0049288F" w:rsidP="0049288F">
            <w:pPr>
              <w:spacing w:line="312" w:lineRule="auto"/>
              <w:ind w:firstLine="0"/>
              <w:jc w:val="left"/>
              <w:rPr>
                <w:lang w:val="sr-Cyrl-RS"/>
              </w:rPr>
            </w:pPr>
            <w:r w:rsidRPr="00884CF0">
              <w:rPr>
                <w:lang w:val="sr-Cyrl-RS"/>
              </w:rPr>
              <w:t>Специјалистичке струковне студије II степена (ССС 180+60 ЕСПБ) стечене у складу са Законом о високом образовању који је на снази од 7.10.2017.</w:t>
            </w:r>
          </w:p>
        </w:tc>
      </w:tr>
      <w:tr w:rsidR="001908CF" w:rsidRPr="004D7EA5" w14:paraId="0B2FB841" w14:textId="77777777" w:rsidTr="0049288F">
        <w:trPr>
          <w:trHeight w:val="412"/>
        </w:trPr>
        <w:tc>
          <w:tcPr>
            <w:tcW w:w="396" w:type="dxa"/>
            <w:vMerge/>
            <w:vAlign w:val="center"/>
          </w:tcPr>
          <w:p w14:paraId="7D78A277" w14:textId="77777777" w:rsidR="001908CF" w:rsidRPr="00884CF0" w:rsidRDefault="001908CF" w:rsidP="0049288F">
            <w:pPr>
              <w:spacing w:line="312" w:lineRule="auto"/>
              <w:ind w:firstLine="0"/>
              <w:jc w:val="center"/>
              <w:rPr>
                <w:lang w:val="sr-Cyrl-RS"/>
              </w:rPr>
            </w:pPr>
          </w:p>
        </w:tc>
        <w:tc>
          <w:tcPr>
            <w:tcW w:w="516" w:type="dxa"/>
            <w:vAlign w:val="center"/>
          </w:tcPr>
          <w:p w14:paraId="17FDAE50" w14:textId="77777777" w:rsidR="001908CF" w:rsidRPr="00884CF0" w:rsidRDefault="001908CF" w:rsidP="0049288F">
            <w:pPr>
              <w:spacing w:line="312" w:lineRule="auto"/>
              <w:ind w:firstLine="0"/>
              <w:jc w:val="center"/>
              <w:rPr>
                <w:lang w:val="sr-Cyrl-RS"/>
              </w:rPr>
            </w:pPr>
            <w:r w:rsidRPr="00884CF0">
              <w:rPr>
                <w:lang w:val="sr-Cyrl-RS"/>
              </w:rPr>
              <w:t>7.2</w:t>
            </w:r>
          </w:p>
        </w:tc>
        <w:tc>
          <w:tcPr>
            <w:tcW w:w="4158" w:type="dxa"/>
            <w:vAlign w:val="center"/>
          </w:tcPr>
          <w:p w14:paraId="24F5E3C3" w14:textId="77777777" w:rsidR="0049288F" w:rsidRPr="00884CF0" w:rsidRDefault="0049288F" w:rsidP="0049288F">
            <w:pPr>
              <w:spacing w:line="312" w:lineRule="auto"/>
              <w:ind w:firstLine="0"/>
              <w:jc w:val="left"/>
              <w:rPr>
                <w:lang w:val="sr-Cyrl-RS"/>
              </w:rPr>
            </w:pPr>
            <w:r w:rsidRPr="00884CF0">
              <w:rPr>
                <w:lang w:val="sr-Cyrl-RS"/>
              </w:rPr>
              <w:t xml:space="preserve">Специјалистичке академске студије </w:t>
            </w:r>
          </w:p>
          <w:p w14:paraId="082F71EE" w14:textId="77777777" w:rsidR="0049288F" w:rsidRPr="00884CF0" w:rsidRDefault="0049288F" w:rsidP="0049288F">
            <w:pPr>
              <w:spacing w:line="312" w:lineRule="auto"/>
              <w:ind w:firstLine="0"/>
              <w:jc w:val="left"/>
              <w:rPr>
                <w:lang w:val="sr-Cyrl-RS"/>
              </w:rPr>
            </w:pPr>
            <w:r w:rsidRPr="00884CF0">
              <w:rPr>
                <w:lang w:val="sr-Cyrl-RS"/>
              </w:rPr>
              <w:t>(САС 60 ЕСПБ, стечене у складу са Законом о високом образовању који је на снази од 7.10.2017)</w:t>
            </w:r>
          </w:p>
          <w:p w14:paraId="0F3909AB" w14:textId="53EF78B0" w:rsidR="001908CF" w:rsidRPr="00884CF0" w:rsidRDefault="001908CF" w:rsidP="0049288F">
            <w:pPr>
              <w:spacing w:line="312" w:lineRule="auto"/>
              <w:ind w:firstLine="0"/>
              <w:jc w:val="left"/>
              <w:rPr>
                <w:lang w:val="sr-Cyrl-RS"/>
              </w:rPr>
            </w:pPr>
          </w:p>
        </w:tc>
        <w:tc>
          <w:tcPr>
            <w:tcW w:w="4216" w:type="dxa"/>
            <w:vAlign w:val="center"/>
          </w:tcPr>
          <w:p w14:paraId="448FE7F4" w14:textId="2CDAD1AE" w:rsidR="0049288F" w:rsidRPr="00884CF0" w:rsidRDefault="0049288F" w:rsidP="0049288F">
            <w:pPr>
              <w:spacing w:line="312" w:lineRule="auto"/>
              <w:ind w:firstLine="0"/>
              <w:jc w:val="left"/>
              <w:rPr>
                <w:lang w:val="sr-Cyrl-RS"/>
              </w:rPr>
            </w:pPr>
            <w:r w:rsidRPr="00884CF0">
              <w:rPr>
                <w:lang w:val="sr-Cyrl-RS"/>
              </w:rPr>
              <w:t>Специјалистичке студије у трајању од једне до две године (до 2005. године, 7.2 ССС)</w:t>
            </w:r>
          </w:p>
          <w:p w14:paraId="5FC244EB" w14:textId="77777777" w:rsidR="0049288F" w:rsidRPr="00884CF0" w:rsidRDefault="0049288F" w:rsidP="0049288F">
            <w:pPr>
              <w:spacing w:line="312" w:lineRule="auto"/>
              <w:ind w:firstLine="0"/>
              <w:jc w:val="left"/>
              <w:rPr>
                <w:lang w:val="sr-Cyrl-RS"/>
              </w:rPr>
            </w:pPr>
            <w:r w:rsidRPr="00884CF0">
              <w:rPr>
                <w:lang w:val="sr-Cyrl-RS"/>
              </w:rPr>
              <w:t>Магистарске студије у трајању од две године (до 2005. године, 7.2 ССС)</w:t>
            </w:r>
          </w:p>
          <w:p w14:paraId="6B0DCAF3" w14:textId="10E203F9" w:rsidR="001908CF" w:rsidRPr="00884CF0" w:rsidRDefault="001908CF" w:rsidP="0049288F">
            <w:pPr>
              <w:spacing w:line="312" w:lineRule="auto"/>
              <w:ind w:firstLine="0"/>
              <w:jc w:val="left"/>
              <w:rPr>
                <w:lang w:val="sr-Cyrl-RS"/>
              </w:rPr>
            </w:pPr>
          </w:p>
        </w:tc>
      </w:tr>
      <w:tr w:rsidR="001908CF" w:rsidRPr="004D7EA5" w14:paraId="5828E6B0" w14:textId="77777777" w:rsidTr="0049288F">
        <w:tc>
          <w:tcPr>
            <w:tcW w:w="912" w:type="dxa"/>
            <w:gridSpan w:val="2"/>
            <w:vAlign w:val="center"/>
          </w:tcPr>
          <w:p w14:paraId="40BC3F59" w14:textId="77777777" w:rsidR="001908CF" w:rsidRPr="00884CF0" w:rsidRDefault="001908CF" w:rsidP="0049288F">
            <w:pPr>
              <w:spacing w:line="312" w:lineRule="auto"/>
              <w:ind w:firstLine="0"/>
              <w:jc w:val="center"/>
              <w:rPr>
                <w:lang w:val="sr-Cyrl-RS"/>
              </w:rPr>
            </w:pPr>
            <w:r w:rsidRPr="00884CF0">
              <w:rPr>
                <w:lang w:val="sr-Cyrl-RS"/>
              </w:rPr>
              <w:t>8.</w:t>
            </w:r>
          </w:p>
        </w:tc>
        <w:tc>
          <w:tcPr>
            <w:tcW w:w="4158" w:type="dxa"/>
            <w:vAlign w:val="center"/>
          </w:tcPr>
          <w:p w14:paraId="10D719D8" w14:textId="18723E2C" w:rsidR="001908CF" w:rsidRPr="00884CF0" w:rsidRDefault="0049288F" w:rsidP="0049288F">
            <w:pPr>
              <w:spacing w:line="312" w:lineRule="auto"/>
              <w:ind w:firstLine="0"/>
              <w:jc w:val="left"/>
              <w:rPr>
                <w:lang w:val="sr-Cyrl-RS"/>
              </w:rPr>
            </w:pPr>
            <w:r w:rsidRPr="00884CF0">
              <w:rPr>
                <w:lang w:val="sr-Cyrl-RS"/>
              </w:rPr>
              <w:t>Докторске студије (ДС, 180 ЕСПБ)</w:t>
            </w:r>
          </w:p>
        </w:tc>
        <w:tc>
          <w:tcPr>
            <w:tcW w:w="4216" w:type="dxa"/>
            <w:vAlign w:val="center"/>
          </w:tcPr>
          <w:p w14:paraId="27072526" w14:textId="4772C166" w:rsidR="001908CF" w:rsidRPr="00884CF0" w:rsidRDefault="0049288F" w:rsidP="0049288F">
            <w:pPr>
              <w:spacing w:line="312" w:lineRule="auto"/>
              <w:ind w:firstLine="0"/>
              <w:jc w:val="left"/>
              <w:rPr>
                <w:lang w:val="sr-Cyrl-RS"/>
              </w:rPr>
            </w:pPr>
            <w:r w:rsidRPr="00884CF0">
              <w:rPr>
                <w:lang w:val="sr-Cyrl-RS"/>
              </w:rPr>
              <w:t>Докторат наука (до 2005. године, 8 ССС)</w:t>
            </w:r>
          </w:p>
        </w:tc>
      </w:tr>
    </w:tbl>
    <w:p w14:paraId="3426DD82" w14:textId="77777777" w:rsidR="001908CF" w:rsidRPr="00884CF0" w:rsidRDefault="001908CF" w:rsidP="00D935A8">
      <w:pPr>
        <w:spacing w:line="360" w:lineRule="auto"/>
        <w:ind w:firstLine="720"/>
        <w:jc w:val="both"/>
        <w:rPr>
          <w:lang w:val="sr-Cyrl-RS"/>
        </w:rPr>
      </w:pPr>
    </w:p>
    <w:p w14:paraId="35E478C7" w14:textId="77777777" w:rsidR="0049288F" w:rsidRPr="00884CF0" w:rsidRDefault="0049288F" w:rsidP="0049288F">
      <w:pPr>
        <w:spacing w:line="360" w:lineRule="auto"/>
        <w:ind w:firstLine="720"/>
        <w:jc w:val="both"/>
        <w:rPr>
          <w:lang w:val="sr-Cyrl-RS"/>
        </w:rPr>
      </w:pPr>
      <w:r w:rsidRPr="00884CF0">
        <w:rPr>
          <w:lang w:val="sr-Cyrl-RS"/>
        </w:rPr>
        <w:t xml:space="preserve">Национални оквир квалификација Републике Србије представља систем за уређивање квалификација стечених кроз формално, неформално или информално образовање. У овом контексту, под квалификацијом се подразумева формално признање стечених компетенција, односно свих оних знања, вештина, способности и ставова који </w:t>
      </w:r>
      <w:r w:rsidRPr="00884CF0">
        <w:rPr>
          <w:lang w:val="sr-Cyrl-RS"/>
        </w:rPr>
        <w:lastRenderedPageBreak/>
        <w:t xml:space="preserve">једној особи омогућују ефикасно обављање активности у послу, тј. омогућавају јој обављање радних активности које је у складу са очекиваним стандардом. Да би неко стекао квалификацију, надлежно тело треба да утврди да је особа стекла исходе учења у оквиру одређеног нивоа квалификације и према задатом стандарду за ту квалификацију, што се формално потврђује јавном исправом (дипломом или сертификатом). </w:t>
      </w:r>
    </w:p>
    <w:p w14:paraId="18FA4B7A" w14:textId="7143C443" w:rsidR="0049288F" w:rsidRPr="00884CF0" w:rsidRDefault="0049288F" w:rsidP="0049288F">
      <w:pPr>
        <w:spacing w:line="360" w:lineRule="auto"/>
        <w:jc w:val="both"/>
        <w:rPr>
          <w:lang w:val="sr-Cyrl-RS"/>
        </w:rPr>
      </w:pPr>
      <w:r w:rsidRPr="00884CF0">
        <w:rPr>
          <w:lang w:val="sr-Cyrl-RS"/>
        </w:rPr>
        <w:t>У оквиру НОКС-а побројани су и описани не само различити нивои квалификација, већ и односи између квалификација, као и путеви проходности и напредовања кроз овакав систем квалификација. На основу НОКС-а, квалификације се разврставају на опште квалификације (које се стичу кроз основно образовање и васпитање, гимназијско образовање које обухвата све типове и смерове гимназија, као и специјализоване гимназије), стручне квалификације (које се стичу кроз средње стручно образовање, обуке, средње уметничке квалификације), академске квалификације (које се стичу кроз акредитоване академске студијске програме-основне, мастер, специјалистичке и докторске студије, као и академске уметничке квалификације) и струковне квалификације (које се стичу кроз акредитоване струковне студијске програме-основне, мастер и специјалистичке студије).</w:t>
      </w:r>
    </w:p>
    <w:p w14:paraId="552E5159" w14:textId="77777777" w:rsidR="0049288F" w:rsidRPr="00884CF0" w:rsidRDefault="0049288F" w:rsidP="0049288F">
      <w:pPr>
        <w:spacing w:line="360" w:lineRule="auto"/>
        <w:ind w:firstLine="720"/>
        <w:jc w:val="both"/>
        <w:rPr>
          <w:lang w:val="sr-Cyrl-RS"/>
        </w:rPr>
      </w:pPr>
      <w:r w:rsidRPr="00884CF0">
        <w:rPr>
          <w:lang w:val="sr-Cyrl-RS"/>
        </w:rPr>
        <w:t xml:space="preserve">Такође, НОКС прецизно дефинише процесе, тела и организације одговорне за успостављање квалификација, као и начине стицања квалификација, њихово упоређивање, препознавање, обезбеђивање квалитета и стандарда по којима се реализују. </w:t>
      </w:r>
    </w:p>
    <w:p w14:paraId="6CF3AEDA" w14:textId="07E7E378" w:rsidR="0049288F" w:rsidRPr="00884CF0" w:rsidRDefault="0049288F" w:rsidP="0049288F">
      <w:pPr>
        <w:spacing w:line="360" w:lineRule="auto"/>
        <w:rPr>
          <w:lang w:val="sr-Cyrl-RS"/>
        </w:rPr>
      </w:pPr>
      <w:r w:rsidRPr="00884CF0">
        <w:rPr>
          <w:lang w:val="sr-Cyrl-RS"/>
        </w:rPr>
        <w:t xml:space="preserve">У систему квалификација у Републици Србији квалификације су се традиционално стицале кроз формални систем образовања. Кроз формално образовање могу се стећи опште, стручне, академске и струковне квалификације, завршавањем основног, средњег или високог образовања у оквиру верификованих и акредитованих установа и програма, након чега се издаје одговарајућа диплома или уверење. Међутим, као резултат увођења флексибилнијих путева достизања квалификација, новим законским решењима у области образовања одраслих уређен је начин признавања квалификација кроз два додатна пута. Квалификације се захваљујући новом НОКС-у могу стећи и кроз неформално образовање - на овај начин стичу се стручне квалификације кроз систем образовања одраслих, различитим облицима образовања, најчешће обуком или оспособљавањем, после чега се издаје сертификат или уверење. Коначно, стручне квалификације се сада могу стећи и признавањем претходног учења, неформалног или информалног. Поступак оваквог признавања квалификација подразумева да се у складу са дефинисаним стандардом процењују знања, вештине и </w:t>
      </w:r>
      <w:r w:rsidRPr="00884CF0">
        <w:rPr>
          <w:lang w:val="sr-Cyrl-RS"/>
        </w:rPr>
        <w:lastRenderedPageBreak/>
        <w:t>ставови које је особа стекла кроз радно или животно искуство. На крају поступка издаје се одговарајући сертификат.</w:t>
      </w:r>
    </w:p>
    <w:p w14:paraId="6587E19A" w14:textId="048A4164" w:rsidR="00C47C44" w:rsidRPr="00884CF0" w:rsidRDefault="00C47C44" w:rsidP="0049288F">
      <w:pPr>
        <w:pStyle w:val="Heading2"/>
        <w:rPr>
          <w:lang w:val="sr-Cyrl-RS"/>
        </w:rPr>
      </w:pPr>
      <w:bookmarkStart w:id="5" w:name="_Toc119880819"/>
      <w:r w:rsidRPr="00884CF0">
        <w:rPr>
          <w:lang w:val="sr-Cyrl-RS"/>
        </w:rPr>
        <w:t>Заинтересоване стране, институције, организације и тела</w:t>
      </w:r>
      <w:bookmarkEnd w:id="5"/>
    </w:p>
    <w:p w14:paraId="56DF8B41" w14:textId="0AAED157" w:rsidR="0049288F" w:rsidRPr="00884CF0" w:rsidRDefault="0049288F" w:rsidP="00C058CF">
      <w:pPr>
        <w:spacing w:line="360" w:lineRule="auto"/>
        <w:jc w:val="both"/>
        <w:rPr>
          <w:lang w:val="sr-Cyrl-RS"/>
        </w:rPr>
      </w:pPr>
      <w:r w:rsidRPr="00884CF0">
        <w:rPr>
          <w:lang w:val="sr-Cyrl-RS"/>
        </w:rPr>
        <w:t xml:space="preserve">Систем НОКС-а обухвата велики број заинтересованих страна: предузећа, државне институције, јавне службе, синдикате, школе, факултете, организације, предузећа и лица која уче, наставнике, професоре, инструкторе, испитна тела, испитиваче и кандидате, службе/агенције за запошљавање, каријерне саветнике, лица која траже посао, итд. који имају различите улоге и интересе. Институционални оквир </w:t>
      </w:r>
      <w:r w:rsidR="00C058CF">
        <w:rPr>
          <w:lang w:val="sr-Cyrl-RS"/>
        </w:rPr>
        <w:t xml:space="preserve">за </w:t>
      </w:r>
      <w:r w:rsidR="00C058CF" w:rsidRPr="00884CF0">
        <w:rPr>
          <w:lang w:val="sr-Cyrl-RS"/>
        </w:rPr>
        <w:t xml:space="preserve">планирање, управљање и спровођење НОКС-а </w:t>
      </w:r>
      <w:r w:rsidRPr="00884CF0">
        <w:rPr>
          <w:lang w:val="sr-Cyrl-RS"/>
        </w:rPr>
        <w:t>је комплексан и састоји се од различитих институција, организација и тела.</w:t>
      </w:r>
    </w:p>
    <w:p w14:paraId="5E7E21D7" w14:textId="1FA4C9CC" w:rsidR="0049288F" w:rsidRPr="00884CF0" w:rsidRDefault="00C47C44" w:rsidP="0049288F">
      <w:pPr>
        <w:spacing w:line="360" w:lineRule="auto"/>
        <w:jc w:val="both"/>
        <w:rPr>
          <w:lang w:val="sr-Cyrl-RS"/>
        </w:rPr>
      </w:pPr>
      <w:r w:rsidRPr="00884CF0">
        <w:rPr>
          <w:lang w:val="sr-Cyrl-RS"/>
        </w:rPr>
        <w:t xml:space="preserve"> </w:t>
      </w:r>
      <w:r w:rsidR="0049288F" w:rsidRPr="00884CF0">
        <w:rPr>
          <w:b/>
          <w:bCs/>
          <w:lang w:val="sr-Cyrl-RS"/>
        </w:rPr>
        <w:t>МПНТР</w:t>
      </w:r>
      <w:r w:rsidR="0049288F" w:rsidRPr="00884CF0">
        <w:rPr>
          <w:lang w:val="sr-Cyrl-RS"/>
        </w:rPr>
        <w:t xml:space="preserve"> је главна институција одговорна за развој и спровођење образовних политика. Основне функције МПНТР су истраживање, планирање, развој, надзор и управљање предшколским, основним, средњим, високим и системом образовања одраслих. Основне јединице унутар МПНТР су 11 сектора и то: Сектор за предшколско и основно образовање и васпитање, Сектор за средње образовање и васпитање и образовање одраслих, Сектор за међународну сарадњу и европске интеграције, Сектор за високо образовање, Сектор за ученички и студентски стандард и инвестиције, Сектор за дигитализацију у просвети и науци, Сектор за дуално и предузетничко образовање и васпитање, Сектор за финансије, Сектор за инспекцијске послове, Сектор за науку и Сектор за технолошки развој, трансфер технологија и иновативни систем. У Министарству је према акту о систематизацији предвиђено укупно 287 радних места и 423 државних службеника и намештеника а у Министарству је запослено укупно 336 државна службеника и намештеника , 3 запослена су на мировању радног односа, 12 лица запослено је на одређено време, као и 5 државних секретара. Поред сектора у Министарству постоје и уже унутрашње јединице изван сектора и Секретаријата, у оквиру којих се налази и Одељење за координацију рада школских управа. </w:t>
      </w:r>
    </w:p>
    <w:p w14:paraId="4D28E718" w14:textId="77777777" w:rsidR="0049288F" w:rsidRPr="00884CF0" w:rsidRDefault="0049288F" w:rsidP="0049288F">
      <w:pPr>
        <w:spacing w:line="360" w:lineRule="auto"/>
        <w:rPr>
          <w:lang w:val="sr-Cyrl-RS"/>
        </w:rPr>
      </w:pPr>
      <w:r w:rsidRPr="00884CF0">
        <w:rPr>
          <w:lang w:val="sr-Cyrl-RS"/>
        </w:rPr>
        <w:t>Поред Министарства постоје и два Завода, Завод за унапређивање образовања и васпитања и Завод за вредновање квалитета образовања и васпитања као и Агенција за квалификације. Оба завода учествују у реформским активностима и пружају саветодавну и стручну подршку</w:t>
      </w:r>
      <w:r w:rsidR="00C47C44" w:rsidRPr="00884CF0">
        <w:rPr>
          <w:lang w:val="sr-Cyrl-RS"/>
        </w:rPr>
        <w:t xml:space="preserve">. </w:t>
      </w:r>
    </w:p>
    <w:p w14:paraId="32D75360" w14:textId="640FCC99" w:rsidR="0049288F" w:rsidRPr="00884CF0" w:rsidRDefault="0049288F" w:rsidP="0049288F">
      <w:pPr>
        <w:spacing w:line="360" w:lineRule="auto"/>
        <w:rPr>
          <w:lang w:val="sr-Cyrl-RS"/>
        </w:rPr>
      </w:pPr>
      <w:r w:rsidRPr="00884CF0">
        <w:rPr>
          <w:b/>
          <w:bCs/>
          <w:lang w:val="sr-Cyrl-RS"/>
        </w:rPr>
        <w:t>ЗУОВ</w:t>
      </w:r>
      <w:r w:rsidRPr="00884CF0">
        <w:rPr>
          <w:lang w:val="sr-Cyrl-RS"/>
        </w:rPr>
        <w:t xml:space="preserve"> обавља послове праћења, обезбеђивања и унапређивања квалитета и развоја система образовања и васпитања, као и развојне, саветодавне, истраживачке и друге стручне послове у предшколском, основном и средњем образовању и васпитању. </w:t>
      </w:r>
      <w:r w:rsidRPr="00884CF0">
        <w:rPr>
          <w:lang w:val="sr-Cyrl-RS"/>
        </w:rPr>
        <w:lastRenderedPageBreak/>
        <w:t>За обављање стручних послова ЗУОВ има три центра и један сектор као унутрашње јединице: Центар за развој програма и уџбеника, Центар за стручно образовање и образовање одраслих, Центар за професионални развој запослених у образовању и Сектор за специфична питања предшколског, основног и средњег образовања. ЗУОВ остварује непосредну сарадњу са МПНТР, НПС и ССООО. Представници ЗУОВ-а су по Закону о НОКС</w:t>
      </w:r>
      <w:r w:rsidRPr="00884CF0">
        <w:rPr>
          <w:rStyle w:val="FootnoteReference"/>
          <w:lang w:val="sr-Cyrl-RS"/>
        </w:rPr>
        <w:footnoteReference w:id="4"/>
      </w:r>
      <w:r w:rsidRPr="00884CF0">
        <w:rPr>
          <w:lang w:val="sr-Cyrl-RS"/>
        </w:rPr>
        <w:t xml:space="preserve"> чланови СВ. Поред тога што је ЗУОВ надлежан за израду наставних програма који треба да буду усклађени и којима се достижу исходи учења прописани СК, следеће области су у директној вези са НОКС: каријерно вођење и саветовање, осигурање квалитета (различити образовни стандарди као и испити у ССО), припрема СК за образовне профиле у стручном образовању (и СК за опште квалификације), припрема концепта и стандарда признавања претходно стечених знања и вештина, припрема дела националног оквира квалификација и припрему листе квалификација, давање мишљења о испуњености стандарда за остваривање програма стручног оспособљавања и обуке,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r w:rsidRPr="00884CF0">
        <w:rPr>
          <w:rStyle w:val="FootnoteReference"/>
          <w:lang w:val="sr-Cyrl-RS"/>
        </w:rPr>
        <w:footnoteReference w:id="5"/>
      </w:r>
      <w:r w:rsidRPr="00884CF0">
        <w:rPr>
          <w:lang w:val="sr-Cyrl-RS"/>
        </w:rPr>
        <w:t xml:space="preserve">.  </w:t>
      </w:r>
    </w:p>
    <w:p w14:paraId="09A64F7D" w14:textId="6D4566A5" w:rsidR="0049288F" w:rsidRPr="00884CF0" w:rsidRDefault="0049288F" w:rsidP="0049288F">
      <w:pPr>
        <w:spacing w:line="360" w:lineRule="auto"/>
        <w:jc w:val="both"/>
        <w:rPr>
          <w:lang w:val="sr-Cyrl-RS"/>
        </w:rPr>
      </w:pPr>
      <w:r w:rsidRPr="00884CF0">
        <w:rPr>
          <w:b/>
          <w:bCs/>
          <w:lang w:val="sr-Cyrl-RS"/>
        </w:rPr>
        <w:t>ЗВКОВ</w:t>
      </w:r>
      <w:r w:rsidRPr="00884CF0">
        <w:rPr>
          <w:lang w:val="sr-Cyrl-RS"/>
        </w:rPr>
        <w:t xml:space="preserve"> је стручна институција која се бави евалуацијом образовања и васпитања и даје препоруке за успостављање и обезбеђивање система квалитета образовања и васпитања. Кључне активности Завода су: дефинисање стандарда у образовању, вредновање образовања, и обука учесника у систему образовања. ЗВКОВ има четири унутрашње јединице: Центар за испите, Центар за осигурање квалитета рада установа, Центар за међународна, национална испитивања и развојно-истраживачке послове и Центар за образовну технологију. Област у којој се остварује сарадња са институцијама надлежним за НОКС, је систем осигурања квалитета, завршни и пријемни испити, стандарди у образовању, и вредновање квалитета рада установа. Према закону АзК је надлежан да предлаже мере унапређивања осигурања квалитета у целокупном систему образовања</w:t>
      </w:r>
      <w:r w:rsidRPr="00884CF0">
        <w:rPr>
          <w:rStyle w:val="FootnoteReference"/>
          <w:lang w:val="sr-Cyrl-RS"/>
        </w:rPr>
        <w:footnoteReference w:id="6"/>
      </w:r>
      <w:r w:rsidRPr="00884CF0">
        <w:rPr>
          <w:lang w:val="sr-Cyrl-RS"/>
        </w:rPr>
        <w:t>.</w:t>
      </w:r>
      <w:r w:rsidRPr="00884CF0" w:rsidDel="0096422E">
        <w:rPr>
          <w:highlight w:val="yellow"/>
          <w:lang w:val="sr-Cyrl-RS"/>
        </w:rPr>
        <w:t xml:space="preserve"> </w:t>
      </w:r>
    </w:p>
    <w:p w14:paraId="4C441812" w14:textId="77777777" w:rsidR="0049288F" w:rsidRPr="00884CF0" w:rsidRDefault="0049288F" w:rsidP="0049288F">
      <w:pPr>
        <w:spacing w:line="360" w:lineRule="auto"/>
        <w:jc w:val="both"/>
        <w:rPr>
          <w:lang w:val="sr-Cyrl-RS"/>
        </w:rPr>
      </w:pPr>
      <w:r w:rsidRPr="00884CF0">
        <w:rPr>
          <w:b/>
          <w:bCs/>
          <w:lang w:val="sr-Cyrl-RS"/>
        </w:rPr>
        <w:t>Агенција за квалификације</w:t>
      </w:r>
      <w:r w:rsidRPr="00884CF0">
        <w:rPr>
          <w:lang w:val="sr-Cyrl-RS"/>
        </w:rPr>
        <w:t xml:space="preserve"> основана је у септембру 2018 а на основу Закона о НОКС-у. АзК има три центра: Центар за развој квалификација и подршку секторским већима НОКС-а, Центар за акредитацију јавно признатих организатора образовања одраслих, ЕНИЦ/НАРИЦ центар. Актом о систематизацији предвиђено је да АзК има 51 запосленог. </w:t>
      </w:r>
    </w:p>
    <w:p w14:paraId="6B5C4413" w14:textId="6FA1B278" w:rsidR="0049288F" w:rsidRPr="00884CF0" w:rsidRDefault="0049288F" w:rsidP="0049288F">
      <w:pPr>
        <w:spacing w:line="360" w:lineRule="auto"/>
        <w:jc w:val="both"/>
        <w:rPr>
          <w:lang w:val="sr-Cyrl-RS"/>
        </w:rPr>
      </w:pPr>
      <w:r w:rsidRPr="00884CF0">
        <w:rPr>
          <w:b/>
          <w:bCs/>
          <w:lang w:val="sr-Cyrl-RS"/>
        </w:rPr>
        <w:lastRenderedPageBreak/>
        <w:t>Национално тело за акредитацију и проверу квалитета у високом образовању</w:t>
      </w:r>
      <w:r w:rsidRPr="00884CF0">
        <w:rPr>
          <w:lang w:val="sr-Cyrl-RS"/>
        </w:rPr>
        <w:t xml:space="preserve"> је основан</w:t>
      </w:r>
      <w:r w:rsidR="00C058CF">
        <w:rPr>
          <w:lang w:val="sr-Cyrl-RS"/>
        </w:rPr>
        <w:t>о</w:t>
      </w:r>
      <w:r w:rsidRPr="00884CF0">
        <w:rPr>
          <w:lang w:val="sr-Cyrl-RS"/>
        </w:rPr>
        <w:t xml:space="preserve"> 2018. године на основу Закона о високом образовању. Национално акредитационо тело обавља послове акредитације, провере квалитета високошколских установа и јединица у њиховом саставу, вредновања студијских програма и обезбеђивања квалитета у високом образовању у Србији. Стручни орган Националног акредитационог тела је Комисија за акредитацију и проверу квалитета у високом образовању (у даљем тексту КАПК). Поред КАПК-а, НАТ чини и Одељење за акредитацију и спољашњу проверу квалитета, Одсек за међународну сарадњу, пројекте и едукацију и Одсек за информационе технологије. Области у којима треба остварити сарадњу са институцијама НОКС-а су обезбеђивање квалитета у високом образовању, вредновање и акредитација студијских програма у складу са СК, те стандарди квалификација за нивое 6 – 8.</w:t>
      </w:r>
    </w:p>
    <w:p w14:paraId="4DAC8F6D" w14:textId="4CE60F03" w:rsidR="0049288F" w:rsidRPr="00884CF0" w:rsidRDefault="0049288F" w:rsidP="0049288F">
      <w:pPr>
        <w:spacing w:line="360" w:lineRule="auto"/>
        <w:jc w:val="both"/>
        <w:rPr>
          <w:lang w:val="sr-Cyrl-RS"/>
        </w:rPr>
      </w:pPr>
      <w:r w:rsidRPr="00884CF0">
        <w:rPr>
          <w:lang w:val="sr-Cyrl-RS"/>
        </w:rPr>
        <w:t xml:space="preserve">Као платформа за промишљање и развој политике образовања, консултацију, координацију и сарадњу поред постојећих институција основана су и четири савета: Национални просветни савет, Савет за стручно образовање и образовање одраслих, Национални савет за високо образовање и Савет за НОКС.  </w:t>
      </w:r>
    </w:p>
    <w:p w14:paraId="7007329E" w14:textId="4D7D77A8" w:rsidR="0049288F" w:rsidRPr="00884CF0" w:rsidRDefault="0049288F" w:rsidP="0049288F">
      <w:pPr>
        <w:spacing w:line="360" w:lineRule="auto"/>
        <w:jc w:val="both"/>
        <w:rPr>
          <w:lang w:val="sr-Cyrl-RS"/>
        </w:rPr>
      </w:pPr>
      <w:r w:rsidRPr="00884CF0">
        <w:rPr>
          <w:b/>
          <w:bCs/>
          <w:lang w:val="sr-Cyrl-RS"/>
        </w:rPr>
        <w:t>НПС</w:t>
      </w:r>
      <w:r w:rsidRPr="00884CF0">
        <w:rPr>
          <w:lang w:val="sr-Cyrl-RS"/>
        </w:rPr>
        <w:t xml:space="preserve"> је основан ради развоја и унапређивања предшколског, основног, општег средњег и уметничког образовања. Савет има 35 чланова. Савет прати и анализира стање, даје смернице за развој и унапређивање квалитета, предлаже мера за смањивање стопе осипања и раног напуштања система образовања, утврђује опште и посебне стандарде постигнућа, и друге стандарде у предшколском, основном, општем средњем и уметничком образовању. Сарадња са институцијама НОКС</w:t>
      </w:r>
      <w:r w:rsidR="00884CF0" w:rsidRPr="00884CF0">
        <w:rPr>
          <w:lang w:val="sr-Cyrl-RS"/>
        </w:rPr>
        <w:t>-</w:t>
      </w:r>
      <w:r w:rsidRPr="00884CF0">
        <w:rPr>
          <w:lang w:val="sr-Cyrl-RS"/>
        </w:rPr>
        <w:t xml:space="preserve">а потребно је остварити у домену СК за опште квалификације, СК које се стичу уметничким образовањем, унапређивање квалитета образовања и развој система образовања. </w:t>
      </w:r>
    </w:p>
    <w:p w14:paraId="5F2DD86C" w14:textId="77777777" w:rsidR="0049288F" w:rsidRPr="00884CF0" w:rsidRDefault="0049288F" w:rsidP="0049288F">
      <w:pPr>
        <w:spacing w:line="360" w:lineRule="auto"/>
        <w:jc w:val="both"/>
        <w:rPr>
          <w:lang w:val="sr-Cyrl-RS"/>
        </w:rPr>
      </w:pPr>
      <w:r w:rsidRPr="00884CF0">
        <w:rPr>
          <w:b/>
          <w:bCs/>
          <w:lang w:val="sr-Cyrl-RS"/>
        </w:rPr>
        <w:t>ССООО</w:t>
      </w:r>
      <w:r w:rsidRPr="00884CF0">
        <w:rPr>
          <w:lang w:val="sr-Cyrl-RS"/>
        </w:rPr>
        <w:t xml:space="preserve"> је основан ради развоја и унапређивања средњег стручног образовања и образовања одраслих. Савет  прати и анализира стање,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 Савет има 19 чланова. Улога Савета је да допринесе развоју људских ресурса који су потреби за стварање друштва заснованог на знању и целоживотном учењу. Области у којима је потребно остварити сарадњу са институцијама НОКС-а су: унапређење и развој стручног образовања и образовања одраслих, специјалистичког и мајсторског образовања, </w:t>
      </w:r>
      <w:r w:rsidRPr="00884CF0">
        <w:rPr>
          <w:lang w:val="sr-Cyrl-RS"/>
        </w:rPr>
        <w:lastRenderedPageBreak/>
        <w:t xml:space="preserve">средњег стручног образовања и обуке лица са сметњама у развоју и инвалидитетом, и другим облицима стручног образовања (формално и неформално), односно развој СК које се стичу у наведеним облицима стручног образовања, обезбеђивање квалитета у стручном образовању (стандарди и испити), каријерно вођење и саветовање као и развој социјалног партнерства. </w:t>
      </w:r>
    </w:p>
    <w:p w14:paraId="7CD49F57" w14:textId="221FC20D" w:rsidR="0049288F" w:rsidRPr="00884CF0" w:rsidRDefault="0049288F" w:rsidP="0049288F">
      <w:pPr>
        <w:spacing w:line="360" w:lineRule="auto"/>
        <w:jc w:val="both"/>
        <w:rPr>
          <w:lang w:val="sr-Cyrl-RS"/>
        </w:rPr>
      </w:pPr>
      <w:r w:rsidRPr="00884CF0">
        <w:rPr>
          <w:b/>
          <w:bCs/>
          <w:lang w:val="sr-Cyrl-RS"/>
        </w:rPr>
        <w:t>Национални савет за високо образовање</w:t>
      </w:r>
      <w:r w:rsidRPr="00884CF0">
        <w:rPr>
          <w:lang w:val="sr-Cyrl-RS"/>
        </w:rPr>
        <w:t xml:space="preserve"> надлежан је за стратешко планирање и доношење одлука о кључним питањима система високог образовања, као што су утврђивање стандарда за самовредновање и квалитета, за спољашњу проверу квалитета, стандарда за акредитацију високошколски</w:t>
      </w:r>
      <w:r w:rsidR="00884CF0" w:rsidRPr="00884CF0">
        <w:rPr>
          <w:lang w:val="sr-Cyrl-RS"/>
        </w:rPr>
        <w:t>х</w:t>
      </w:r>
      <w:r w:rsidRPr="00884CF0">
        <w:rPr>
          <w:lang w:val="sr-Cyrl-RS"/>
        </w:rPr>
        <w:t xml:space="preserve"> установа и програма. Савет има 17 чланова. Области у којима треба остварити сарадњу са институцијама НОКС-а су: уписна политика, кратки програми студија и издавање одговарајућег сертификата, унапређивање квалитета високог образовања (посебно стандарди за акредитацију </w:t>
      </w:r>
      <w:r w:rsidR="00884CF0" w:rsidRPr="00884CF0">
        <w:rPr>
          <w:lang w:val="sr-Cyrl-RS"/>
        </w:rPr>
        <w:t>студијских</w:t>
      </w:r>
      <w:r w:rsidRPr="00884CF0">
        <w:rPr>
          <w:lang w:val="sr-Cyrl-RS"/>
        </w:rPr>
        <w:t xml:space="preserve"> програма).</w:t>
      </w:r>
    </w:p>
    <w:p w14:paraId="03F1D355" w14:textId="77777777" w:rsidR="0049288F" w:rsidRPr="00884CF0" w:rsidRDefault="0049288F" w:rsidP="0049288F">
      <w:pPr>
        <w:spacing w:line="360" w:lineRule="auto"/>
        <w:jc w:val="both"/>
        <w:rPr>
          <w:lang w:val="sr-Cyrl-RS"/>
        </w:rPr>
      </w:pPr>
      <w:r w:rsidRPr="00884CF0">
        <w:rPr>
          <w:b/>
          <w:bCs/>
          <w:lang w:val="sr-Cyrl-RS"/>
        </w:rPr>
        <w:t>Савет за НОКС</w:t>
      </w:r>
      <w:r w:rsidRPr="00884CF0">
        <w:rPr>
          <w:lang w:val="sr-Cyrl-RS"/>
        </w:rPr>
        <w:t xml:space="preserve"> је саветодавно тело које даје препоруке у процесу планирања и развоја људских ресурса, као и јавним политикама које се баве целоживотним учењем, запошљавањем, и каријерним вођењем и саветовањем. Савет има 25 чланова које именује Влада.</w:t>
      </w:r>
    </w:p>
    <w:p w14:paraId="6F4507C4" w14:textId="77777777" w:rsidR="0049288F" w:rsidRPr="00884CF0" w:rsidRDefault="0049288F" w:rsidP="0049288F">
      <w:pPr>
        <w:spacing w:line="360" w:lineRule="auto"/>
        <w:jc w:val="both"/>
        <w:rPr>
          <w:lang w:val="sr-Cyrl-RS"/>
        </w:rPr>
      </w:pPr>
      <w:r w:rsidRPr="00884CF0">
        <w:rPr>
          <w:lang w:val="sr-Cyrl-RS"/>
        </w:rPr>
        <w:t xml:space="preserve">На основу Закона о НОКС-у, одлуке Савета за НОКС, Влада РС основала је </w:t>
      </w:r>
      <w:r w:rsidRPr="00884CF0">
        <w:rPr>
          <w:b/>
          <w:bCs/>
          <w:lang w:val="sr-Cyrl-RS"/>
        </w:rPr>
        <w:t>12 Секторских већа</w:t>
      </w:r>
      <w:r w:rsidRPr="00884CF0">
        <w:rPr>
          <w:lang w:val="sr-Cyrl-RS"/>
        </w:rPr>
        <w:t>: 1. Секторско веће за сектор информационих и комуникационих технологија, електротехнике, аутоматике и електронике, 2. Секторско веће за сектор пољопривреде, производње хране, шумарства, рибарства и ветерине, 3. Секторско веће за сектор осталих услуга, 4. Секторско веће за сектор индустријског развоја, 5. Секторско веће за сектор образовања и васпитања, 6. Секторско веће за сектор пословне администрације, 7. Секторско веће за сектор здравства и социјалне заштите, 8. Секторско веће за сектор саобраћаја и услуга транспорта, 9. Секторско веће за сектор трговине, угоститељства и туризма, 10. Секторско веће за сектор природних наука, математике и статистике, 11. Секторско веће за сектор уметност и хуманизам (хуманистичке науке), и 12. Секторско веће за сектор друштвених наука , новинарства и информисања.</w:t>
      </w:r>
    </w:p>
    <w:p w14:paraId="4647EAA1" w14:textId="77777777" w:rsidR="0049288F" w:rsidRPr="00884CF0" w:rsidRDefault="0049288F" w:rsidP="0049288F">
      <w:pPr>
        <w:spacing w:line="360" w:lineRule="auto"/>
        <w:jc w:val="both"/>
        <w:rPr>
          <w:lang w:val="sr-Cyrl-RS"/>
        </w:rPr>
      </w:pPr>
      <w:r w:rsidRPr="00884CF0">
        <w:rPr>
          <w:lang w:val="sr-Cyrl-RS"/>
        </w:rPr>
        <w:t>Горе наведене институције и тела су део образовног система. Поред њих за развој НОКС-а значајну улогу имају и институције и тела која припадају привреди, запошљавању, раду, омладини, итд.</w:t>
      </w:r>
    </w:p>
    <w:p w14:paraId="50010937" w14:textId="28AE77CF" w:rsidR="0049288F" w:rsidRPr="00884CF0" w:rsidRDefault="0049288F" w:rsidP="0049288F">
      <w:pPr>
        <w:spacing w:line="360" w:lineRule="auto"/>
        <w:jc w:val="both"/>
        <w:rPr>
          <w:lang w:val="sr-Cyrl-RS"/>
        </w:rPr>
      </w:pPr>
      <w:r w:rsidRPr="00884CF0">
        <w:rPr>
          <w:b/>
          <w:bCs/>
          <w:lang w:val="sr-Cyrl-RS"/>
        </w:rPr>
        <w:lastRenderedPageBreak/>
        <w:t>Министарство рада, запошљавања, борачка и социјална питања</w:t>
      </w:r>
      <w:r w:rsidRPr="00884CF0">
        <w:rPr>
          <w:lang w:val="sr-Cyrl-RS"/>
        </w:rPr>
        <w:t xml:space="preserve"> (Сектор за рад и запошљавање) је према Закону о Министарствима</w:t>
      </w:r>
      <w:r w:rsidRPr="00884CF0">
        <w:rPr>
          <w:rStyle w:val="FootnoteReference"/>
          <w:lang w:val="sr-Cyrl-RS"/>
        </w:rPr>
        <w:footnoteReference w:id="7"/>
      </w:r>
      <w:r w:rsidRPr="00884CF0">
        <w:rPr>
          <w:lang w:val="sr-Cyrl-RS"/>
        </w:rPr>
        <w:t xml:space="preserve"> између осталог надлежно за послове који се односе на систем у области  радних односа и права из рада, евиденције у области рада, праћење стања и кретања на тржишту рада, евиденције у области запошљавања, унапређење у подстицање запошљавања, стратегију, програм и мере активне политике запошљавања, запошљавање особа са инвалидитетом и других лица која се теже запошљавају, припрему националног стандарда квалификација и предлагање мера за унапређење система образовања одраслих. Области у којима је потребно остварити сарадњу су професионално саветовање и каријерно вођење, стандарди занимања и шифрирање, образовање одраслих, обуке и </w:t>
      </w:r>
      <w:r w:rsidR="00884CF0" w:rsidRPr="00884CF0">
        <w:rPr>
          <w:lang w:val="sr-Cyrl-RS"/>
        </w:rPr>
        <w:t>професионална</w:t>
      </w:r>
      <w:r w:rsidRPr="00884CF0">
        <w:rPr>
          <w:lang w:val="sr-Cyrl-RS"/>
        </w:rPr>
        <w:t xml:space="preserve"> рехабилитација особа са инвалидитетом. </w:t>
      </w:r>
    </w:p>
    <w:p w14:paraId="52CB5DF1" w14:textId="77777777" w:rsidR="0049288F" w:rsidRPr="00884CF0" w:rsidRDefault="0049288F" w:rsidP="0049288F">
      <w:pPr>
        <w:spacing w:line="360" w:lineRule="auto"/>
        <w:jc w:val="both"/>
        <w:rPr>
          <w:lang w:val="sr-Cyrl-RS"/>
        </w:rPr>
      </w:pPr>
      <w:r w:rsidRPr="00884CF0">
        <w:rPr>
          <w:b/>
          <w:bCs/>
          <w:lang w:val="sr-Cyrl-RS"/>
        </w:rPr>
        <w:t>Национална служба за запошљавање</w:t>
      </w:r>
      <w:r w:rsidRPr="00884CF0">
        <w:rPr>
          <w:lang w:val="sr-Cyrl-RS"/>
        </w:rPr>
        <w:t xml:space="preserve"> је на основу Закона запошљавању и осигурању у случају незапослености овлашћена за обављање послова из области запошљавања, осигурања за случај незапослености, остваривања права из осигурања за случај незапослености вођење евиденција у области запошљавања. Области сарадње су професионална орјентација и саветовање о планирању каријере, додатно образовање и обука, ППУ и сарадња са ЈПОА као и евиденције у области запошљавања</w:t>
      </w:r>
    </w:p>
    <w:p w14:paraId="5EDFD405" w14:textId="5DCE0F96" w:rsidR="0049288F" w:rsidRPr="00884CF0" w:rsidRDefault="0049288F" w:rsidP="0049288F">
      <w:pPr>
        <w:spacing w:line="360" w:lineRule="auto"/>
        <w:jc w:val="both"/>
        <w:rPr>
          <w:lang w:val="sr-Cyrl-RS"/>
        </w:rPr>
      </w:pPr>
      <w:r w:rsidRPr="00884CF0">
        <w:rPr>
          <w:b/>
          <w:bCs/>
          <w:color w:val="000000" w:themeColor="text1"/>
          <w:lang w:val="sr-Cyrl-RS"/>
        </w:rPr>
        <w:t>Републички завод за статистику</w:t>
      </w:r>
      <w:r w:rsidRPr="00884CF0">
        <w:rPr>
          <w:color w:val="000000" w:themeColor="text1"/>
          <w:lang w:val="sr-Cyrl-RS"/>
        </w:rPr>
        <w:t xml:space="preserve"> </w:t>
      </w:r>
      <w:r w:rsidRPr="00884CF0">
        <w:rPr>
          <w:lang w:val="sr-Cyrl-RS"/>
        </w:rPr>
        <w:t>је посебна стручна организација у систему државне управе у Републици Србији која обав</w:t>
      </w:r>
      <w:r w:rsidR="00884CF0" w:rsidRPr="00884CF0">
        <w:rPr>
          <w:lang w:val="sr-Cyrl-RS"/>
        </w:rPr>
        <w:t>љ</w:t>
      </w:r>
      <w:r w:rsidRPr="00884CF0">
        <w:rPr>
          <w:lang w:val="sr-Cyrl-RS"/>
        </w:rPr>
        <w:t>а стручне послове који се односе на: организацију и спровођење статистичких истраживања, односно израду методологије, прикуп</w:t>
      </w:r>
      <w:r w:rsidR="00884CF0" w:rsidRPr="00884CF0">
        <w:rPr>
          <w:lang w:val="sr-Cyrl-RS"/>
        </w:rPr>
        <w:t>љ</w:t>
      </w:r>
      <w:r w:rsidRPr="00884CF0">
        <w:rPr>
          <w:lang w:val="sr-Cyrl-RS"/>
        </w:rPr>
        <w:t>ање, обраду, статистичку анализу и објав</w:t>
      </w:r>
      <w:r w:rsidR="00884CF0" w:rsidRPr="00884CF0">
        <w:rPr>
          <w:lang w:val="sr-Cyrl-RS"/>
        </w:rPr>
        <w:t>љ</w:t>
      </w:r>
      <w:r w:rsidRPr="00884CF0">
        <w:rPr>
          <w:lang w:val="sr-Cyrl-RS"/>
        </w:rPr>
        <w:t xml:space="preserve">ивање статистичких података; припрему и доношење јединствених статистичких стандарда; развој, одржавање и коришћење републичких административних и статистичких регистара; сарадњу и стручну координацију са органима и организацијама овлашћеним за вршење статистичких истраживања; сарадњу са међународним организацијама ради стандардизације и обезбеђивања упоредивости података. Област сарадње је прикупљање и вођење статистичких података из области образовања као и других релевантних података потребних за развој и праћење НОКС-а (регистар НОКС-а, анализе и истраживања од значаја за развој квалификација, профили сектора и рад Секторских већа). </w:t>
      </w:r>
    </w:p>
    <w:p w14:paraId="4BD5AC1E" w14:textId="448CD1E6" w:rsidR="0049288F" w:rsidRPr="00884CF0" w:rsidRDefault="0049288F" w:rsidP="0049288F">
      <w:pPr>
        <w:spacing w:line="360" w:lineRule="auto"/>
        <w:jc w:val="both"/>
        <w:rPr>
          <w:lang w:val="sr-Cyrl-RS"/>
        </w:rPr>
      </w:pPr>
      <w:r w:rsidRPr="00884CF0">
        <w:rPr>
          <w:b/>
          <w:bCs/>
          <w:lang w:val="sr-Cyrl-RS"/>
        </w:rPr>
        <w:t>Привредна комора Србије</w:t>
      </w:r>
      <w:r w:rsidRPr="00884CF0">
        <w:rPr>
          <w:lang w:val="sr-Cyrl-RS"/>
        </w:rPr>
        <w:t xml:space="preserve"> (ПКС) је законом</w:t>
      </w:r>
      <w:r w:rsidRPr="00884CF0">
        <w:rPr>
          <w:rStyle w:val="FootnoteReference"/>
          <w:lang w:val="sr-Cyrl-RS"/>
        </w:rPr>
        <w:footnoteReference w:id="8"/>
      </w:r>
      <w:r w:rsidRPr="00884CF0">
        <w:rPr>
          <w:lang w:val="sr-Cyrl-RS"/>
        </w:rPr>
        <w:t xml:space="preserve"> дефинисана организација привредних субјеката. ПКС окупља привреду Србије у јединствен систем, секторски и </w:t>
      </w:r>
      <w:r w:rsidRPr="00884CF0">
        <w:rPr>
          <w:lang w:val="sr-Cyrl-RS"/>
        </w:rPr>
        <w:lastRenderedPageBreak/>
        <w:t>регионално. Чланови ПКС су привредна друштва, груписана у секторе пољопривреде, индустрије и услуга, који се уже групишу у 19 гранских удружења. ПКС</w:t>
      </w:r>
      <w:r w:rsidRPr="00884CF0">
        <w:rPr>
          <w:rStyle w:val="FootnoteReference"/>
          <w:lang w:val="sr-Cyrl-RS"/>
        </w:rPr>
        <w:footnoteReference w:id="9"/>
      </w:r>
      <w:r w:rsidRPr="00884CF0">
        <w:rPr>
          <w:lang w:val="sr-Cyrl-RS"/>
        </w:rPr>
        <w:t xml:space="preserve"> заступа интересе и ставове чланова учешћем у креирању закона и других прописа важних за пословну заједницу; унапређује економску сарадњу са иностранством; пружа информативно-аналитичку подршку привреди. Кроз повезивање привреде и науке подстиче се примена нових технологија и знања у савременом пословању и производњи. Према Закону о дуалном образовању ПКС има значајну улогу код уписа ученика, утврђивања испуњености услова за извођење учења кроз рад код послодавца, вођења регистра о дуалном образовању, обука и лиценцирање инструктора и спровођења завршних и матурских испита. ПКС има значајну улогу у успостављању социјалног </w:t>
      </w:r>
      <w:r w:rsidR="00884CF0" w:rsidRPr="00884CF0">
        <w:rPr>
          <w:lang w:val="sr-Cyrl-RS"/>
        </w:rPr>
        <w:t>дијалога</w:t>
      </w:r>
      <w:r w:rsidRPr="00884CF0">
        <w:rPr>
          <w:lang w:val="sr-Cyrl-RS"/>
        </w:rPr>
        <w:t xml:space="preserve"> између образовања и привреде и раду Секторских већа.</w:t>
      </w:r>
    </w:p>
    <w:p w14:paraId="5F38CEBE" w14:textId="77777777" w:rsidR="0049288F" w:rsidRPr="00884CF0" w:rsidRDefault="0049288F" w:rsidP="0049288F">
      <w:pPr>
        <w:spacing w:line="360" w:lineRule="auto"/>
        <w:jc w:val="both"/>
        <w:rPr>
          <w:lang w:val="sr-Cyrl-RS"/>
        </w:rPr>
      </w:pPr>
      <w:r w:rsidRPr="00884CF0">
        <w:rPr>
          <w:b/>
          <w:bCs/>
          <w:lang w:val="sr-Cyrl-RS"/>
        </w:rPr>
        <w:t>Унија послодаваца Србије</w:t>
      </w:r>
      <w:r w:rsidRPr="00884CF0">
        <w:rPr>
          <w:lang w:val="sr-Cyrl-RS"/>
        </w:rPr>
        <w:t xml:space="preserve"> (УПС), као легитимни представник послодаваца у домаћем социјалном дијалогу заступа интересе послодаваца у дијалогу са државним органима и синдикатима, у оквиру Социјално  економског савета. Чланство у Унији послодавца Србије је добровољно. УПС се залаже за превазилажење сукоба путем социјалног дијалога и преговарања. Са позиције репрезентативне послодавачке организације, Унија се ангажује на стварању предуслова за даљу изградњу активних и равноправних партнерских односа са представницима извршне власти и представницима радника. УПС има 19 сектора а делатност сектора је праћење и анализирање привредних кретања у одређеном сектору привреде и предлагање мера ради унапређивања услова рада и пословања. Област сарадње са УПС је развој социјалног дијалога у образовању.</w:t>
      </w:r>
    </w:p>
    <w:p w14:paraId="216032AE" w14:textId="7C8FFBF9" w:rsidR="0049288F" w:rsidRPr="00884CF0" w:rsidRDefault="0049288F" w:rsidP="0049288F">
      <w:pPr>
        <w:spacing w:line="360" w:lineRule="auto"/>
        <w:rPr>
          <w:lang w:val="sr-Cyrl-RS"/>
        </w:rPr>
      </w:pPr>
      <w:r w:rsidRPr="00884CF0">
        <w:rPr>
          <w:b/>
          <w:bCs/>
          <w:lang w:val="sr-Cyrl-RS"/>
        </w:rPr>
        <w:t>Синдикат</w:t>
      </w:r>
      <w:r w:rsidRPr="00884CF0">
        <w:rPr>
          <w:lang w:val="sr-Cyrl-RS"/>
        </w:rPr>
        <w:t xml:space="preserve"> је самостална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 Деловање синдиката регулисано је Законом о раду а статус репрезентативног синдиката имају Савез самосталних синдиката Србије и Уједињени грански синдикат “Независност”. </w:t>
      </w:r>
      <w:r w:rsidR="00884CF0" w:rsidRPr="00884CF0">
        <w:rPr>
          <w:lang w:val="sr-Cyrl-RS"/>
        </w:rPr>
        <w:t>Учлањивање</w:t>
      </w:r>
      <w:r w:rsidRPr="00884CF0">
        <w:rPr>
          <w:lang w:val="sr-Cyrl-RS"/>
        </w:rPr>
        <w:t xml:space="preserve"> у синдикате је добровољно. Област сарадње је развој социјалног дијалога у образовању.</w:t>
      </w:r>
    </w:p>
    <w:p w14:paraId="15DD8417" w14:textId="6BAF2E88" w:rsidR="00581A4A" w:rsidRPr="00884CF0" w:rsidRDefault="00DF4FBD" w:rsidP="00884CF0">
      <w:pPr>
        <w:pStyle w:val="Heading1"/>
        <w:rPr>
          <w:lang w:val="sr-Cyrl-RS"/>
        </w:rPr>
      </w:pPr>
      <w:bookmarkStart w:id="6" w:name="_Toc119880820"/>
      <w:r w:rsidRPr="00884CF0">
        <w:rPr>
          <w:lang w:val="sr-Cyrl-RS"/>
        </w:rPr>
        <w:lastRenderedPageBreak/>
        <w:t>Методолошки оквир евалуације НОКС-а</w:t>
      </w:r>
      <w:bookmarkEnd w:id="6"/>
    </w:p>
    <w:p w14:paraId="264D7730" w14:textId="48ECB799" w:rsidR="00581A4A" w:rsidRPr="00884CF0" w:rsidRDefault="00581A4A" w:rsidP="00884CF0">
      <w:pPr>
        <w:pStyle w:val="basic-paragraph"/>
        <w:spacing w:before="0" w:beforeAutospacing="0" w:after="0" w:afterAutospacing="0" w:line="360" w:lineRule="auto"/>
        <w:ind w:firstLine="720"/>
        <w:jc w:val="both"/>
        <w:rPr>
          <w:rFonts w:eastAsiaTheme="minorHAnsi" w:cs="B Nazanin"/>
          <w:szCs w:val="32"/>
          <w:lang w:val="sr-Cyrl-RS"/>
        </w:rPr>
      </w:pPr>
      <w:r w:rsidRPr="00884CF0">
        <w:rPr>
          <w:rFonts w:eastAsiaTheme="minorHAnsi" w:cs="B Nazanin"/>
          <w:szCs w:val="32"/>
          <w:lang w:val="sr-Cyrl-RS"/>
        </w:rPr>
        <w:t xml:space="preserve">Према Уредби о </w:t>
      </w:r>
      <w:r w:rsidRPr="00884CF0">
        <w:rPr>
          <w:lang w:val="sr-Cyrl-RS"/>
        </w:rPr>
        <w:t xml:space="preserve">методологији </w:t>
      </w:r>
      <w:r w:rsidR="00884CF0" w:rsidRPr="00884CF0">
        <w:rPr>
          <w:lang w:val="sr-Cyrl-RS"/>
        </w:rPr>
        <w:t>управљања</w:t>
      </w:r>
      <w:r w:rsidRPr="00884CF0">
        <w:rPr>
          <w:lang w:val="sr-Cyrl-RS"/>
        </w:rPr>
        <w:t xml:space="preserve"> јавним политикама, анализи ефеката јавних политика и прописа и садржају појединачних докумената јавних политика, током и након спровођења јавне политике потребно је спровести</w:t>
      </w:r>
      <w:r w:rsidRPr="00884CF0">
        <w:rPr>
          <w:rFonts w:eastAsiaTheme="minorHAnsi" w:cs="B Nazanin"/>
          <w:szCs w:val="32"/>
          <w:lang w:val="sr-Cyrl-RS"/>
        </w:rPr>
        <w:t xml:space="preserve"> еx-post анализу ефеката која представља процес праћења спровођења докумената јавних политика кроз сагледавање ефеката њених мера и активности. Овај процес се </w:t>
      </w:r>
      <w:r w:rsidR="00DD2E80" w:rsidRPr="00884CF0">
        <w:rPr>
          <w:rFonts w:eastAsiaTheme="minorHAnsi" w:cs="B Nazanin"/>
          <w:szCs w:val="32"/>
          <w:lang w:val="sr-Cyrl-RS"/>
        </w:rPr>
        <w:t>остварује</w:t>
      </w:r>
      <w:r w:rsidRPr="00884CF0">
        <w:rPr>
          <w:rFonts w:eastAsiaTheme="minorHAnsi" w:cs="B Nazanin"/>
          <w:szCs w:val="32"/>
          <w:lang w:val="sr-Cyrl-RS"/>
        </w:rPr>
        <w:t xml:space="preserve"> кроз различите врсте анализа ради вредновања постигнутих учинака, у циљу њиховог преиспитивања и унапређења. Ex-post анализа ефеката омогућава сагледавање стварних позитивних и негативних, директних и индиректних ефеката које мере садржане у документу јавне политик</w:t>
      </w:r>
      <w:r w:rsidR="00DD2E80" w:rsidRPr="00884CF0">
        <w:rPr>
          <w:rFonts w:eastAsiaTheme="minorHAnsi" w:cs="B Nazanin"/>
          <w:szCs w:val="32"/>
          <w:lang w:val="sr-Cyrl-RS"/>
        </w:rPr>
        <w:t>е</w:t>
      </w:r>
      <w:r w:rsidRPr="00884CF0">
        <w:rPr>
          <w:rFonts w:eastAsiaTheme="minorHAnsi" w:cs="B Nazanin"/>
          <w:szCs w:val="32"/>
          <w:lang w:val="sr-Cyrl-RS"/>
        </w:rPr>
        <w:t xml:space="preserve"> производе током примене, како би се утврдило да ли је неопходно предузети додатне и/или корективне мере у циљу смањења негативних ефеката на најмању могућу меру, отклањања узрока проблема насталих у току спровођења јавне политике, и постизања планираних циљева</w:t>
      </w:r>
      <w:r w:rsidRPr="00884CF0">
        <w:rPr>
          <w:rStyle w:val="FootnoteReference"/>
          <w:rFonts w:eastAsiaTheme="minorHAnsi" w:cs="B Nazanin"/>
          <w:szCs w:val="32"/>
          <w:lang w:val="sr-Cyrl-RS"/>
        </w:rPr>
        <w:footnoteReference w:id="10"/>
      </w:r>
      <w:r w:rsidRPr="00884CF0">
        <w:rPr>
          <w:rFonts w:eastAsiaTheme="minorHAnsi" w:cs="B Nazanin"/>
          <w:szCs w:val="32"/>
          <w:lang w:val="sr-Cyrl-RS"/>
        </w:rPr>
        <w:t xml:space="preserve">. </w:t>
      </w:r>
    </w:p>
    <w:p w14:paraId="2442BC41" w14:textId="5780FF2C" w:rsidR="00BE3F4B" w:rsidRPr="00884CF0" w:rsidRDefault="00581A4A" w:rsidP="00884CF0">
      <w:pPr>
        <w:pStyle w:val="basic-paragraph"/>
        <w:spacing w:before="0" w:beforeAutospacing="0" w:after="0" w:afterAutospacing="0" w:line="360" w:lineRule="auto"/>
        <w:ind w:firstLine="720"/>
        <w:jc w:val="both"/>
        <w:rPr>
          <w:rFonts w:eastAsiaTheme="minorHAnsi" w:cs="B Nazanin"/>
          <w:szCs w:val="32"/>
          <w:lang w:val="sr-Cyrl-RS"/>
        </w:rPr>
      </w:pPr>
      <w:r w:rsidRPr="00884CF0">
        <w:rPr>
          <w:rFonts w:eastAsiaTheme="minorHAnsi" w:cs="B Nazanin"/>
          <w:szCs w:val="32"/>
          <w:lang w:val="sr-Cyrl-RS"/>
        </w:rPr>
        <w:t xml:space="preserve">Следећи </w:t>
      </w:r>
      <w:r w:rsidR="00DD2E80" w:rsidRPr="00884CF0">
        <w:rPr>
          <w:rFonts w:eastAsiaTheme="minorHAnsi" w:cs="B Nazanin"/>
          <w:szCs w:val="32"/>
          <w:lang w:val="sr-Cyrl-RS"/>
        </w:rPr>
        <w:t>препоруке из Уредбе</w:t>
      </w:r>
      <w:r w:rsidR="00E44BA4" w:rsidRPr="00884CF0">
        <w:rPr>
          <w:rFonts w:eastAsiaTheme="minorHAnsi" w:cs="B Nazanin"/>
          <w:szCs w:val="32"/>
          <w:lang w:val="sr-Cyrl-RS"/>
        </w:rPr>
        <w:t xml:space="preserve"> о</w:t>
      </w:r>
      <w:r w:rsidR="00DD2E80" w:rsidRPr="00884CF0">
        <w:rPr>
          <w:rFonts w:eastAsiaTheme="minorHAnsi" w:cs="B Nazanin"/>
          <w:szCs w:val="32"/>
          <w:lang w:val="sr-Cyrl-RS"/>
        </w:rPr>
        <w:t xml:space="preserve"> </w:t>
      </w:r>
      <w:r w:rsidR="00D112A7" w:rsidRPr="00884CF0">
        <w:rPr>
          <w:lang w:val="sr-Cyrl-RS"/>
        </w:rPr>
        <w:t xml:space="preserve">методологији </w:t>
      </w:r>
      <w:r w:rsidR="00884CF0" w:rsidRPr="00884CF0">
        <w:rPr>
          <w:lang w:val="sr-Cyrl-RS"/>
        </w:rPr>
        <w:t>управљања</w:t>
      </w:r>
      <w:r w:rsidR="00D112A7" w:rsidRPr="00884CF0">
        <w:rPr>
          <w:lang w:val="sr-Cyrl-RS"/>
        </w:rPr>
        <w:t xml:space="preserve"> јавним политикама, анализи ефеката јавних политика и прописа и садржају појединачних докумената јавних политика</w:t>
      </w:r>
      <w:r w:rsidR="00D112A7" w:rsidRPr="00884CF0">
        <w:rPr>
          <w:rFonts w:eastAsiaTheme="minorHAnsi" w:cs="B Nazanin"/>
          <w:szCs w:val="32"/>
          <w:lang w:val="sr-Cyrl-RS"/>
        </w:rPr>
        <w:t xml:space="preserve"> </w:t>
      </w:r>
      <w:r w:rsidR="00DD2E80" w:rsidRPr="00884CF0">
        <w:rPr>
          <w:rFonts w:eastAsiaTheme="minorHAnsi" w:cs="B Nazanin"/>
          <w:szCs w:val="32"/>
          <w:lang w:val="sr-Cyrl-RS"/>
        </w:rPr>
        <w:t xml:space="preserve">и Приручника за </w:t>
      </w:r>
      <w:r w:rsidR="00D112A7" w:rsidRPr="00884CF0">
        <w:rPr>
          <w:rFonts w:eastAsiaTheme="minorHAnsi" w:cs="B Nazanin"/>
          <w:szCs w:val="32"/>
          <w:lang w:val="sr-Cyrl-RS"/>
        </w:rPr>
        <w:t>а</w:t>
      </w:r>
      <w:r w:rsidR="00DD2E80" w:rsidRPr="00884CF0">
        <w:rPr>
          <w:rFonts w:eastAsiaTheme="minorHAnsi" w:cs="B Nazanin"/>
          <w:szCs w:val="32"/>
          <w:lang w:val="sr-Cyrl-RS"/>
        </w:rPr>
        <w:t>нализу ефеката јавних политика и прописа</w:t>
      </w:r>
      <w:r w:rsidR="00D112A7" w:rsidRPr="00884CF0">
        <w:rPr>
          <w:rStyle w:val="FootnoteReference"/>
          <w:rFonts w:eastAsiaTheme="minorHAnsi" w:cs="B Nazanin"/>
          <w:szCs w:val="32"/>
          <w:lang w:val="sr-Cyrl-RS"/>
        </w:rPr>
        <w:footnoteReference w:id="11"/>
      </w:r>
      <w:r w:rsidRPr="00884CF0">
        <w:rPr>
          <w:rFonts w:eastAsiaTheme="minorHAnsi" w:cs="B Nazanin"/>
          <w:szCs w:val="32"/>
          <w:lang w:val="sr-Cyrl-RS"/>
        </w:rPr>
        <w:t>, к</w:t>
      </w:r>
      <w:r w:rsidR="00BE3F4B" w:rsidRPr="00884CF0">
        <w:rPr>
          <w:lang w:val="sr-Cyrl-RS"/>
        </w:rPr>
        <w:t>ако би се прати</w:t>
      </w:r>
      <w:r w:rsidR="00F466EB" w:rsidRPr="00884CF0">
        <w:rPr>
          <w:lang w:val="sr-Cyrl-RS"/>
        </w:rPr>
        <w:t>ли</w:t>
      </w:r>
      <w:r w:rsidR="00BE3F4B" w:rsidRPr="00884CF0">
        <w:rPr>
          <w:lang w:val="sr-Cyrl-RS"/>
        </w:rPr>
        <w:t xml:space="preserve"> и евалуира</w:t>
      </w:r>
      <w:r w:rsidR="00F466EB" w:rsidRPr="00884CF0">
        <w:rPr>
          <w:lang w:val="sr-Cyrl-RS"/>
        </w:rPr>
        <w:t>ли</w:t>
      </w:r>
      <w:r w:rsidR="00BE3F4B" w:rsidRPr="00884CF0">
        <w:rPr>
          <w:lang w:val="sr-Cyrl-RS"/>
        </w:rPr>
        <w:t xml:space="preserve"> </w:t>
      </w:r>
      <w:r w:rsidR="00F466EB" w:rsidRPr="00884CF0">
        <w:rPr>
          <w:lang w:val="sr-Cyrl-RS"/>
        </w:rPr>
        <w:t xml:space="preserve">ефекти </w:t>
      </w:r>
      <w:r w:rsidR="00BE3F4B" w:rsidRPr="00884CF0">
        <w:rPr>
          <w:lang w:val="sr-Cyrl-RS"/>
        </w:rPr>
        <w:t>НОКС-а као јавне политике у области образовања, приступило се развоју методолошког оквира за евалуацију ефеката НОКС-а, који би обухватио одговарајуће индикаторе за евалуацију, инструменте за прикупљање података и препоруке за спровођење евалуације, као и развоју методолошког оквира за праћење ефеката модернизованих квалификација на појединца (на запошљавање и целоживотно учење).</w:t>
      </w:r>
      <w:r w:rsidR="00DD2E80" w:rsidRPr="00884CF0">
        <w:rPr>
          <w:lang w:val="sr-Cyrl-RS"/>
        </w:rPr>
        <w:t xml:space="preserve"> </w:t>
      </w:r>
      <w:r w:rsidR="00E44BA4" w:rsidRPr="00884CF0">
        <w:rPr>
          <w:lang w:val="sr-Cyrl-RS"/>
        </w:rPr>
        <w:t xml:space="preserve">Планирано вредновање омогућиће </w:t>
      </w:r>
      <w:r w:rsidR="00DD2E80" w:rsidRPr="00884CF0">
        <w:rPr>
          <w:rFonts w:eastAsiaTheme="minorHAnsi" w:cs="B Nazanin"/>
          <w:szCs w:val="32"/>
          <w:lang w:val="sr-Cyrl-RS"/>
        </w:rPr>
        <w:t>управљање квалитетом НОКС-а као јавне политике у области образовања.</w:t>
      </w:r>
    </w:p>
    <w:p w14:paraId="4FF669E3" w14:textId="38BD9782" w:rsidR="003F0AA6" w:rsidRPr="00E9756B" w:rsidRDefault="00443836" w:rsidP="00884CF0">
      <w:pPr>
        <w:spacing w:line="360" w:lineRule="auto"/>
        <w:ind w:firstLine="720"/>
        <w:jc w:val="both"/>
        <w:rPr>
          <w:lang w:val="sr-Cyrl-RS"/>
        </w:rPr>
      </w:pPr>
      <w:r w:rsidRPr="00884CF0">
        <w:rPr>
          <w:lang w:val="sr-Cyrl-RS"/>
        </w:rPr>
        <w:t>Полазну основу за развој плана евалуације</w:t>
      </w:r>
      <w:r w:rsidR="00A83CD0" w:rsidRPr="00884CF0">
        <w:rPr>
          <w:lang w:val="sr-Cyrl-RS"/>
        </w:rPr>
        <w:t xml:space="preserve"> чинили су подаци добијени из  </w:t>
      </w:r>
      <w:r w:rsidR="003F0AA6" w:rsidRPr="00884CF0">
        <w:rPr>
          <w:lang w:val="sr-Cyrl-RS"/>
        </w:rPr>
        <w:t>иницијални</w:t>
      </w:r>
      <w:r w:rsidR="00A83CD0" w:rsidRPr="00884CF0">
        <w:rPr>
          <w:lang w:val="sr-Cyrl-RS"/>
        </w:rPr>
        <w:t xml:space="preserve">х </w:t>
      </w:r>
      <w:r w:rsidR="003F0AA6" w:rsidRPr="00884CF0">
        <w:rPr>
          <w:lang w:val="sr-Cyrl-RS"/>
        </w:rPr>
        <w:t>састан</w:t>
      </w:r>
      <w:r w:rsidR="00A83CD0" w:rsidRPr="00884CF0">
        <w:rPr>
          <w:lang w:val="sr-Cyrl-RS"/>
        </w:rPr>
        <w:t>ака</w:t>
      </w:r>
      <w:r w:rsidR="003F0AA6" w:rsidRPr="00884CF0">
        <w:rPr>
          <w:lang w:val="sr-Cyrl-RS"/>
        </w:rPr>
        <w:t xml:space="preserve"> са заинтересованим странама</w:t>
      </w:r>
      <w:r w:rsidR="00A83CD0" w:rsidRPr="00884CF0">
        <w:rPr>
          <w:lang w:val="sr-Cyrl-RS"/>
        </w:rPr>
        <w:t xml:space="preserve">, </w:t>
      </w:r>
      <w:r w:rsidR="003F0AA6" w:rsidRPr="00884CF0">
        <w:rPr>
          <w:lang w:val="sr-Cyrl-RS"/>
        </w:rPr>
        <w:t>деск истраживањ</w:t>
      </w:r>
      <w:r w:rsidR="00A83CD0" w:rsidRPr="00884CF0">
        <w:rPr>
          <w:lang w:val="sr-Cyrl-RS"/>
        </w:rPr>
        <w:t>е</w:t>
      </w:r>
      <w:r w:rsidR="003F0AA6" w:rsidRPr="00884CF0">
        <w:rPr>
          <w:lang w:val="sr-Cyrl-RS"/>
        </w:rPr>
        <w:t xml:space="preserve"> релевантних правних и стручних докумената и материјала, као и компаратив</w:t>
      </w:r>
      <w:r w:rsidR="00A83CD0" w:rsidRPr="00884CF0">
        <w:rPr>
          <w:lang w:val="sr-Cyrl-RS"/>
        </w:rPr>
        <w:t>на</w:t>
      </w:r>
      <w:r w:rsidR="003F0AA6" w:rsidRPr="00884CF0">
        <w:rPr>
          <w:lang w:val="sr-Cyrl-RS"/>
        </w:rPr>
        <w:t xml:space="preserve"> анализ</w:t>
      </w:r>
      <w:r w:rsidR="00A83CD0" w:rsidRPr="00884CF0">
        <w:rPr>
          <w:lang w:val="sr-Cyrl-RS"/>
        </w:rPr>
        <w:t>а</w:t>
      </w:r>
      <w:r w:rsidR="003F0AA6" w:rsidRPr="00884CF0">
        <w:rPr>
          <w:lang w:val="sr-Cyrl-RS"/>
        </w:rPr>
        <w:t xml:space="preserve"> начина евалуације одговарајућих образовних политика у другим земљама са којима НОКС кореспондира у систему. Комбинујући резултате анализе тако прикупљених података и методолошке смернице за анализу ефеката јавних политика прописане од стране </w:t>
      </w:r>
      <w:r w:rsidR="003F0AA6" w:rsidRPr="00884CF0">
        <w:rPr>
          <w:lang w:val="sr-Cyrl-RS"/>
        </w:rPr>
        <w:lastRenderedPageBreak/>
        <w:t xml:space="preserve">Секретаријата за јавне политике, уобличен је </w:t>
      </w:r>
      <w:r w:rsidR="003F0AA6" w:rsidRPr="00E9756B">
        <w:rPr>
          <w:lang w:val="sr-Cyrl-RS"/>
        </w:rPr>
        <w:t>методолошк</w:t>
      </w:r>
      <w:r w:rsidR="00E9756B" w:rsidRPr="00E9756B">
        <w:rPr>
          <w:lang w:val="sr-Cyrl-RS"/>
        </w:rPr>
        <w:t>и</w:t>
      </w:r>
      <w:r w:rsidR="003F0AA6" w:rsidRPr="00E9756B">
        <w:rPr>
          <w:lang w:val="sr-Cyrl-RS"/>
        </w:rPr>
        <w:t xml:space="preserve"> оквира са предлогом индикатора  за евалуацију НОКС-а као јавне политике. </w:t>
      </w:r>
    </w:p>
    <w:p w14:paraId="7D32CDE7" w14:textId="60B36830" w:rsidR="003A7168" w:rsidRPr="00884CF0" w:rsidRDefault="007827DD" w:rsidP="00884CF0">
      <w:pPr>
        <w:pStyle w:val="basic-paragraph"/>
        <w:spacing w:before="0" w:beforeAutospacing="0" w:after="0" w:afterAutospacing="0" w:line="360" w:lineRule="auto"/>
        <w:ind w:firstLine="720"/>
        <w:jc w:val="both"/>
        <w:rPr>
          <w:rFonts w:eastAsiaTheme="minorHAnsi" w:cs="B Nazanin"/>
          <w:szCs w:val="32"/>
          <w:lang w:val="sr-Cyrl-RS"/>
        </w:rPr>
      </w:pPr>
      <w:r w:rsidRPr="00884CF0">
        <w:rPr>
          <w:rFonts w:eastAsiaTheme="minorHAnsi" w:cs="B Nazanin"/>
          <w:szCs w:val="32"/>
          <w:lang w:val="sr-Cyrl-RS"/>
        </w:rPr>
        <w:t xml:space="preserve">Евалуација јавне политике представља систематичну процену дизајна, имплементације и резултата одређене Владине политике. Свака </w:t>
      </w:r>
      <w:r w:rsidR="00BC47A0" w:rsidRPr="00884CF0">
        <w:rPr>
          <w:rFonts w:eastAsiaTheme="minorHAnsi" w:cs="B Nazanin"/>
          <w:szCs w:val="32"/>
          <w:lang w:val="sr-Cyrl-RS"/>
        </w:rPr>
        <w:t xml:space="preserve">јавна </w:t>
      </w:r>
      <w:r w:rsidRPr="00884CF0">
        <w:rPr>
          <w:rFonts w:eastAsiaTheme="minorHAnsi" w:cs="B Nazanin"/>
          <w:szCs w:val="32"/>
          <w:lang w:val="sr-Cyrl-RS"/>
        </w:rPr>
        <w:t xml:space="preserve">политика представља својеврсну Владину </w:t>
      </w:r>
      <w:r w:rsidR="00884CF0" w:rsidRPr="00884CF0">
        <w:rPr>
          <w:rFonts w:eastAsiaTheme="minorHAnsi" w:cs="B Nazanin"/>
          <w:szCs w:val="32"/>
          <w:lang w:val="sr-Cyrl-RS"/>
        </w:rPr>
        <w:t>интервенцију</w:t>
      </w:r>
      <w:r w:rsidRPr="00884CF0">
        <w:rPr>
          <w:rFonts w:eastAsiaTheme="minorHAnsi" w:cs="B Nazanin"/>
          <w:szCs w:val="32"/>
          <w:lang w:val="sr-Cyrl-RS"/>
        </w:rPr>
        <w:t xml:space="preserve"> </w:t>
      </w:r>
      <w:r w:rsidR="00BC47A0" w:rsidRPr="00884CF0">
        <w:rPr>
          <w:rFonts w:eastAsiaTheme="minorHAnsi" w:cs="B Nazanin"/>
          <w:szCs w:val="32"/>
          <w:lang w:val="sr-Cyrl-RS"/>
        </w:rPr>
        <w:t>у</w:t>
      </w:r>
      <w:r w:rsidRPr="00884CF0">
        <w:rPr>
          <w:rFonts w:eastAsiaTheme="minorHAnsi" w:cs="B Nazanin"/>
          <w:szCs w:val="32"/>
          <w:lang w:val="sr-Cyrl-RS"/>
        </w:rPr>
        <w:t xml:space="preserve"> циљу решавања </w:t>
      </w:r>
      <w:r w:rsidR="00B60FE8" w:rsidRPr="00884CF0">
        <w:rPr>
          <w:rFonts w:eastAsiaTheme="minorHAnsi" w:cs="B Nazanin"/>
          <w:szCs w:val="32"/>
          <w:lang w:val="sr-Cyrl-RS"/>
        </w:rPr>
        <w:t>специф</w:t>
      </w:r>
      <w:r w:rsidR="00BC47A0" w:rsidRPr="00884CF0">
        <w:rPr>
          <w:rFonts w:eastAsiaTheme="minorHAnsi" w:cs="B Nazanin"/>
          <w:szCs w:val="32"/>
          <w:lang w:val="sr-Cyrl-RS"/>
        </w:rPr>
        <w:t>ич</w:t>
      </w:r>
      <w:r w:rsidR="00B60FE8" w:rsidRPr="00884CF0">
        <w:rPr>
          <w:rFonts w:eastAsiaTheme="minorHAnsi" w:cs="B Nazanin"/>
          <w:szCs w:val="32"/>
          <w:lang w:val="sr-Cyrl-RS"/>
        </w:rPr>
        <w:t xml:space="preserve">ног препознатог проблема у одређеној области, због тога евалуација политике </w:t>
      </w:r>
      <w:r w:rsidRPr="00884CF0">
        <w:rPr>
          <w:rFonts w:eastAsiaTheme="minorHAnsi" w:cs="B Nazanin"/>
          <w:szCs w:val="32"/>
          <w:lang w:val="sr-Cyrl-RS"/>
        </w:rPr>
        <w:t xml:space="preserve">треба да објасни како </w:t>
      </w:r>
      <w:r w:rsidR="00B60FE8" w:rsidRPr="00884CF0">
        <w:rPr>
          <w:rFonts w:eastAsiaTheme="minorHAnsi" w:cs="B Nazanin"/>
          <w:szCs w:val="32"/>
          <w:lang w:val="sr-Cyrl-RS"/>
        </w:rPr>
        <w:t>је</w:t>
      </w:r>
      <w:r w:rsidRPr="00884CF0">
        <w:rPr>
          <w:rFonts w:eastAsiaTheme="minorHAnsi" w:cs="B Nazanin"/>
          <w:szCs w:val="32"/>
          <w:lang w:val="sr-Cyrl-RS"/>
        </w:rPr>
        <w:t xml:space="preserve"> та интервенција </w:t>
      </w:r>
      <w:r w:rsidR="00B60FE8" w:rsidRPr="00884CF0">
        <w:rPr>
          <w:rFonts w:eastAsiaTheme="minorHAnsi" w:cs="B Nazanin"/>
          <w:szCs w:val="32"/>
          <w:lang w:val="sr-Cyrl-RS"/>
        </w:rPr>
        <w:t xml:space="preserve">спроведена и какве ефекте је имала, за кога и због чега. Такође, треба да одговори на питања шта у таквој интервенцији може бити унапређено и како, као и да процени свеукупан </w:t>
      </w:r>
      <w:r w:rsidR="00BC47A0" w:rsidRPr="00884CF0">
        <w:rPr>
          <w:rFonts w:eastAsiaTheme="minorHAnsi" w:cs="B Nazanin"/>
          <w:szCs w:val="32"/>
          <w:lang w:val="sr-Cyrl-RS"/>
        </w:rPr>
        <w:t>ефекат</w:t>
      </w:r>
      <w:r w:rsidR="00B60FE8" w:rsidRPr="00884CF0">
        <w:rPr>
          <w:rFonts w:eastAsiaTheme="minorHAnsi" w:cs="B Nazanin"/>
          <w:szCs w:val="32"/>
          <w:lang w:val="sr-Cyrl-RS"/>
        </w:rPr>
        <w:t xml:space="preserve"> и исплативост политике. Основна питања која евалуација политике треба да расветли су: </w:t>
      </w:r>
    </w:p>
    <w:p w14:paraId="3CD49313" w14:textId="77777777" w:rsidR="003A7168" w:rsidRPr="00884CF0" w:rsidRDefault="00B60FE8"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Да ли интервенција функционише онако како је било планирано и предвиђено?</w:t>
      </w:r>
    </w:p>
    <w:p w14:paraId="253B99C0" w14:textId="77777777" w:rsidR="003A7168" w:rsidRPr="00884CF0" w:rsidRDefault="003A7168"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Шта је у примени политике текло добро, шта мање добро и због чега? </w:t>
      </w:r>
    </w:p>
    <w:p w14:paraId="042195A4" w14:textId="77777777" w:rsidR="003A7168" w:rsidRPr="00884CF0" w:rsidRDefault="003A7168"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Шта би се могло побољшати? </w:t>
      </w:r>
    </w:p>
    <w:p w14:paraId="33094D22" w14:textId="36E41757" w:rsidR="003A7168" w:rsidRPr="00884CF0" w:rsidRDefault="003A7168"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Како је контекст примене политике утицао на њену реализацију?</w:t>
      </w:r>
    </w:p>
    <w:p w14:paraId="676046AF" w14:textId="12F74447" w:rsidR="003A7168" w:rsidRPr="00884CF0" w:rsidRDefault="003A7168"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До којих мерљивих исхода је политика довела?</w:t>
      </w:r>
      <w:r w:rsidR="00844AF0" w:rsidRPr="00884CF0">
        <w:rPr>
          <w:rFonts w:eastAsiaTheme="minorHAnsi" w:cs="B Nazanin"/>
          <w:szCs w:val="32"/>
          <w:lang w:val="sr-Cyrl-RS"/>
        </w:rPr>
        <w:t xml:space="preserve"> Да ли је довела и до неких непланираних </w:t>
      </w:r>
      <w:r w:rsidR="009468CF" w:rsidRPr="00884CF0">
        <w:rPr>
          <w:rFonts w:eastAsiaTheme="minorHAnsi" w:cs="B Nazanin"/>
          <w:szCs w:val="32"/>
          <w:lang w:val="sr-Cyrl-RS"/>
        </w:rPr>
        <w:t xml:space="preserve">или нежељених </w:t>
      </w:r>
      <w:r w:rsidR="00844AF0" w:rsidRPr="00884CF0">
        <w:rPr>
          <w:rFonts w:eastAsiaTheme="minorHAnsi" w:cs="B Nazanin"/>
          <w:szCs w:val="32"/>
          <w:lang w:val="sr-Cyrl-RS"/>
        </w:rPr>
        <w:t>исхода?</w:t>
      </w:r>
    </w:p>
    <w:p w14:paraId="14FBABFF" w14:textId="0C25BD52" w:rsidR="00844AF0" w:rsidRPr="00884CF0" w:rsidRDefault="00844AF0"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Шта се од ових исхода може приписати искључиво примени политике?</w:t>
      </w:r>
    </w:p>
    <w:p w14:paraId="1EDC9D47" w14:textId="69DF8922" w:rsidR="00844AF0" w:rsidRPr="00884CF0" w:rsidRDefault="00844AF0"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Како је контек</w:t>
      </w:r>
      <w:r w:rsidR="00FA0EDF" w:rsidRPr="00884CF0">
        <w:rPr>
          <w:rFonts w:eastAsiaTheme="minorHAnsi" w:cs="B Nazanin"/>
          <w:szCs w:val="32"/>
          <w:lang w:val="sr-Cyrl-RS"/>
        </w:rPr>
        <w:t>с</w:t>
      </w:r>
      <w:r w:rsidRPr="00884CF0">
        <w:rPr>
          <w:rFonts w:eastAsiaTheme="minorHAnsi" w:cs="B Nazanin"/>
          <w:szCs w:val="32"/>
          <w:lang w:val="sr-Cyrl-RS"/>
        </w:rPr>
        <w:t>т примене политике утицао на исходе до којих је политика довела?</w:t>
      </w:r>
    </w:p>
    <w:p w14:paraId="19ABEFDA" w14:textId="741D332B" w:rsidR="00844AF0" w:rsidRPr="00884CF0" w:rsidRDefault="00B60FE8"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Да ли </w:t>
      </w:r>
      <w:r w:rsidR="00844AF0" w:rsidRPr="00884CF0">
        <w:rPr>
          <w:rFonts w:eastAsiaTheme="minorHAnsi" w:cs="B Nazanin"/>
          <w:szCs w:val="32"/>
          <w:lang w:val="sr-Cyrl-RS"/>
        </w:rPr>
        <w:t>је политика утицала</w:t>
      </w:r>
      <w:r w:rsidRPr="00884CF0">
        <w:rPr>
          <w:rFonts w:eastAsiaTheme="minorHAnsi" w:cs="B Nazanin"/>
          <w:szCs w:val="32"/>
          <w:lang w:val="sr-Cyrl-RS"/>
        </w:rPr>
        <w:t xml:space="preserve"> другачије </w:t>
      </w:r>
      <w:r w:rsidR="00844AF0" w:rsidRPr="00884CF0">
        <w:rPr>
          <w:rFonts w:eastAsiaTheme="minorHAnsi" w:cs="B Nazanin"/>
          <w:szCs w:val="32"/>
          <w:lang w:val="sr-Cyrl-RS"/>
        </w:rPr>
        <w:t xml:space="preserve">на различите </w:t>
      </w:r>
      <w:r w:rsidRPr="00884CF0">
        <w:rPr>
          <w:rFonts w:eastAsiaTheme="minorHAnsi" w:cs="B Nazanin"/>
          <w:szCs w:val="32"/>
          <w:lang w:val="sr-Cyrl-RS"/>
        </w:rPr>
        <w:t>групе корисника</w:t>
      </w:r>
      <w:r w:rsidR="00844AF0" w:rsidRPr="00884CF0">
        <w:rPr>
          <w:rFonts w:eastAsiaTheme="minorHAnsi" w:cs="B Nazanin"/>
          <w:szCs w:val="32"/>
          <w:lang w:val="sr-Cyrl-RS"/>
        </w:rPr>
        <w:t xml:space="preserve"> и на који начин</w:t>
      </w:r>
      <w:r w:rsidRPr="00884CF0">
        <w:rPr>
          <w:rFonts w:eastAsiaTheme="minorHAnsi" w:cs="B Nazanin"/>
          <w:szCs w:val="32"/>
          <w:lang w:val="sr-Cyrl-RS"/>
        </w:rPr>
        <w:t xml:space="preserve">? </w:t>
      </w:r>
      <w:r w:rsidR="00BC47A0" w:rsidRPr="00884CF0">
        <w:rPr>
          <w:rFonts w:eastAsiaTheme="minorHAnsi" w:cs="B Nazanin"/>
          <w:szCs w:val="32"/>
          <w:lang w:val="sr-Cyrl-RS"/>
        </w:rPr>
        <w:t xml:space="preserve">Због чега је то тако, или није тако ако је планирано да буде? </w:t>
      </w:r>
    </w:p>
    <w:p w14:paraId="588009E7" w14:textId="4308C3F3" w:rsidR="009468CF" w:rsidRPr="00884CF0" w:rsidRDefault="009468C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У ком погледу политика може бити унапређена?</w:t>
      </w:r>
    </w:p>
    <w:p w14:paraId="3D81149D" w14:textId="5660BEAE" w:rsidR="007827DD" w:rsidRPr="00884CF0" w:rsidRDefault="00BC47A0"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Ако бисмо поново спроводили политику, шта бисмо урадили другач</w:t>
      </w:r>
      <w:r w:rsidR="00B002CE" w:rsidRPr="00884CF0">
        <w:rPr>
          <w:rFonts w:eastAsiaTheme="minorHAnsi" w:cs="B Nazanin"/>
          <w:szCs w:val="32"/>
          <w:lang w:val="sr-Cyrl-RS"/>
        </w:rPr>
        <w:t>ије?</w:t>
      </w:r>
    </w:p>
    <w:p w14:paraId="3836BE13" w14:textId="53017CE4" w:rsidR="00CE30CE" w:rsidRPr="00884CF0" w:rsidRDefault="007C2473" w:rsidP="00884CF0">
      <w:pPr>
        <w:pStyle w:val="basic-paragraph"/>
        <w:spacing w:before="0" w:beforeAutospacing="0" w:after="0" w:afterAutospacing="0" w:line="360" w:lineRule="auto"/>
        <w:ind w:firstLine="720"/>
        <w:jc w:val="both"/>
        <w:rPr>
          <w:rFonts w:eastAsiaTheme="minorHAnsi" w:cs="B Nazanin"/>
          <w:szCs w:val="32"/>
          <w:lang w:val="sr-Cyrl-RS"/>
        </w:rPr>
      </w:pPr>
      <w:r w:rsidRPr="00884CF0">
        <w:rPr>
          <w:rFonts w:eastAsiaTheme="minorHAnsi" w:cs="B Nazanin"/>
          <w:szCs w:val="32"/>
          <w:lang w:val="sr-Cyrl-RS"/>
        </w:rPr>
        <w:t xml:space="preserve">Како би евалуација дала </w:t>
      </w:r>
      <w:r w:rsidR="00A30935" w:rsidRPr="00884CF0">
        <w:rPr>
          <w:rFonts w:eastAsiaTheme="minorHAnsi" w:cs="B Nazanin"/>
          <w:szCs w:val="32"/>
          <w:lang w:val="sr-Cyrl-RS"/>
        </w:rPr>
        <w:t xml:space="preserve">овако </w:t>
      </w:r>
      <w:r w:rsidRPr="00884CF0">
        <w:rPr>
          <w:rFonts w:eastAsiaTheme="minorHAnsi" w:cs="B Nazanin"/>
          <w:szCs w:val="32"/>
          <w:lang w:val="sr-Cyrl-RS"/>
        </w:rPr>
        <w:t>обухватан поглед</w:t>
      </w:r>
      <w:r w:rsidR="00196C58" w:rsidRPr="00884CF0">
        <w:rPr>
          <w:rFonts w:eastAsiaTheme="minorHAnsi" w:cs="B Nazanin"/>
          <w:szCs w:val="32"/>
          <w:lang w:val="sr-Cyrl-RS"/>
        </w:rPr>
        <w:t>,</w:t>
      </w:r>
      <w:r w:rsidRPr="00884CF0">
        <w:rPr>
          <w:rFonts w:eastAsiaTheme="minorHAnsi" w:cs="B Nazanin"/>
          <w:szCs w:val="32"/>
          <w:lang w:val="sr-Cyrl-RS"/>
        </w:rPr>
        <w:t xml:space="preserve"> </w:t>
      </w:r>
      <w:r w:rsidR="00196C58" w:rsidRPr="00884CF0">
        <w:rPr>
          <w:rFonts w:eastAsiaTheme="minorHAnsi" w:cs="B Nazanin"/>
          <w:szCs w:val="32"/>
          <w:lang w:val="sr-Cyrl-RS"/>
        </w:rPr>
        <w:t xml:space="preserve">она ће </w:t>
      </w:r>
      <w:r w:rsidR="00A30935" w:rsidRPr="00884CF0">
        <w:rPr>
          <w:rFonts w:eastAsiaTheme="minorHAnsi" w:cs="B Nazanin"/>
          <w:szCs w:val="32"/>
          <w:lang w:val="sr-Cyrl-RS"/>
        </w:rPr>
        <w:t>укључити</w:t>
      </w:r>
      <w:r w:rsidR="0046219C" w:rsidRPr="00884CF0">
        <w:rPr>
          <w:rFonts w:eastAsiaTheme="minorHAnsi" w:cs="B Nazanin"/>
          <w:szCs w:val="32"/>
          <w:lang w:val="sr-Cyrl-RS"/>
        </w:rPr>
        <w:t xml:space="preserve"> истраживачка питања</w:t>
      </w:r>
      <w:r w:rsidRPr="00884CF0">
        <w:rPr>
          <w:rFonts w:eastAsiaTheme="minorHAnsi" w:cs="B Nazanin"/>
          <w:szCs w:val="32"/>
          <w:lang w:val="sr-Cyrl-RS"/>
        </w:rPr>
        <w:t xml:space="preserve"> везана </w:t>
      </w:r>
      <w:r w:rsidR="00196C58" w:rsidRPr="00884CF0">
        <w:rPr>
          <w:rFonts w:eastAsiaTheme="minorHAnsi" w:cs="B Nazanin"/>
          <w:szCs w:val="32"/>
          <w:lang w:val="sr-Cyrl-RS"/>
        </w:rPr>
        <w:t xml:space="preserve">како </w:t>
      </w:r>
      <w:r w:rsidRPr="00884CF0">
        <w:rPr>
          <w:rFonts w:eastAsiaTheme="minorHAnsi" w:cs="B Nazanin"/>
          <w:szCs w:val="32"/>
          <w:lang w:val="sr-Cyrl-RS"/>
        </w:rPr>
        <w:t>за процес спровођења</w:t>
      </w:r>
      <w:r w:rsidR="00196C58" w:rsidRPr="00884CF0">
        <w:rPr>
          <w:rFonts w:eastAsiaTheme="minorHAnsi" w:cs="B Nazanin"/>
          <w:szCs w:val="32"/>
          <w:lang w:val="sr-Cyrl-RS"/>
        </w:rPr>
        <w:t xml:space="preserve"> НОКС-а тако и његове ефекте, ослањају</w:t>
      </w:r>
      <w:r w:rsidR="00A30935" w:rsidRPr="00884CF0">
        <w:rPr>
          <w:rFonts w:eastAsiaTheme="minorHAnsi" w:cs="B Nazanin"/>
          <w:szCs w:val="32"/>
          <w:lang w:val="sr-Cyrl-RS"/>
        </w:rPr>
        <w:t>ћи</w:t>
      </w:r>
      <w:r w:rsidR="00196C58" w:rsidRPr="00884CF0">
        <w:rPr>
          <w:rFonts w:eastAsiaTheme="minorHAnsi" w:cs="B Nazanin"/>
          <w:szCs w:val="32"/>
          <w:lang w:val="sr-Cyrl-RS"/>
        </w:rPr>
        <w:t xml:space="preserve"> се на </w:t>
      </w:r>
      <w:r w:rsidR="0046219C" w:rsidRPr="00884CF0">
        <w:rPr>
          <w:rFonts w:eastAsiaTheme="minorHAnsi" w:cs="B Nazanin"/>
          <w:szCs w:val="32"/>
          <w:lang w:val="sr-Cyrl-RS"/>
        </w:rPr>
        <w:t>комбин</w:t>
      </w:r>
      <w:r w:rsidR="00A30935" w:rsidRPr="00884CF0">
        <w:rPr>
          <w:rFonts w:eastAsiaTheme="minorHAnsi" w:cs="B Nazanin"/>
          <w:szCs w:val="32"/>
          <w:lang w:val="sr-Cyrl-RS"/>
        </w:rPr>
        <w:t>овање</w:t>
      </w:r>
      <w:r w:rsidR="00B42179" w:rsidRPr="00884CF0">
        <w:rPr>
          <w:rFonts w:eastAsiaTheme="minorHAnsi" w:cs="B Nazanin"/>
          <w:szCs w:val="32"/>
          <w:lang w:val="sr-Cyrl-RS"/>
        </w:rPr>
        <w:t xml:space="preserve"> квалитативних и квантитативних метода за </w:t>
      </w:r>
      <w:r w:rsidR="00884CF0" w:rsidRPr="00884CF0">
        <w:rPr>
          <w:rFonts w:eastAsiaTheme="minorHAnsi" w:cs="B Nazanin"/>
          <w:szCs w:val="32"/>
          <w:lang w:val="sr-Cyrl-RS"/>
        </w:rPr>
        <w:t>прикупљање</w:t>
      </w:r>
      <w:r w:rsidR="00B42179" w:rsidRPr="00884CF0">
        <w:rPr>
          <w:rFonts w:eastAsiaTheme="minorHAnsi" w:cs="B Nazanin"/>
          <w:szCs w:val="32"/>
          <w:lang w:val="sr-Cyrl-RS"/>
        </w:rPr>
        <w:t xml:space="preserve"> података.</w:t>
      </w:r>
    </w:p>
    <w:p w14:paraId="0A8886D2" w14:textId="28D42D6A" w:rsidR="00E50435" w:rsidRPr="00884CF0" w:rsidRDefault="004D2222" w:rsidP="00884CF0">
      <w:pPr>
        <w:pStyle w:val="Heading2"/>
        <w:rPr>
          <w:rStyle w:val="italik"/>
          <w:lang w:val="sr-Cyrl-RS"/>
        </w:rPr>
      </w:pPr>
      <w:bookmarkStart w:id="7" w:name="_Toc119880821"/>
      <w:r w:rsidRPr="00884CF0">
        <w:rPr>
          <w:rStyle w:val="italik"/>
          <w:lang w:val="sr-Cyrl-RS"/>
        </w:rPr>
        <w:t>Логика интервенциј</w:t>
      </w:r>
      <w:r w:rsidR="00C7264D" w:rsidRPr="00884CF0">
        <w:rPr>
          <w:rStyle w:val="italik"/>
          <w:lang w:val="sr-Cyrl-RS"/>
        </w:rPr>
        <w:t>е</w:t>
      </w:r>
      <w:r w:rsidR="00206B5F" w:rsidRPr="00884CF0">
        <w:rPr>
          <w:rStyle w:val="italik"/>
          <w:lang w:val="sr-Cyrl-RS"/>
        </w:rPr>
        <w:t xml:space="preserve"> и циљеви јавне политике</w:t>
      </w:r>
      <w:bookmarkEnd w:id="7"/>
    </w:p>
    <w:p w14:paraId="4DB4BF6E" w14:textId="59A6D29D" w:rsidR="004D2222" w:rsidRPr="00884CF0" w:rsidRDefault="00C7264D" w:rsidP="00884CF0">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 xml:space="preserve">Креирање НОКС-а и иницијални период </w:t>
      </w:r>
      <w:r w:rsidR="007E3FCB" w:rsidRPr="00884CF0">
        <w:rPr>
          <w:rStyle w:val="italik"/>
          <w:rFonts w:eastAsiaTheme="majorEastAsia"/>
          <w:lang w:val="sr-Cyrl-RS"/>
        </w:rPr>
        <w:t xml:space="preserve">примене ове политике темељио се на јасно одређеним циљевима, </w:t>
      </w:r>
      <w:r w:rsidR="001C77B2" w:rsidRPr="00884CF0">
        <w:rPr>
          <w:rStyle w:val="italik"/>
          <w:rFonts w:eastAsiaTheme="majorEastAsia"/>
          <w:lang w:val="sr-Cyrl-RS"/>
        </w:rPr>
        <w:t xml:space="preserve">на чију процену остварености ће се евалуација фокусирати. </w:t>
      </w:r>
      <w:r w:rsidR="008607A8" w:rsidRPr="00884CF0">
        <w:rPr>
          <w:rStyle w:val="italik"/>
          <w:rFonts w:eastAsiaTheme="majorEastAsia"/>
          <w:lang w:val="sr-Cyrl-RS"/>
        </w:rPr>
        <w:t>При креирању НОКС-а логика интервенције је била пре имплицитна него експлицитна, па а</w:t>
      </w:r>
      <w:r w:rsidR="001C77B2" w:rsidRPr="00884CF0">
        <w:rPr>
          <w:rStyle w:val="italik"/>
          <w:rFonts w:eastAsiaTheme="majorEastAsia"/>
          <w:lang w:val="sr-Cyrl-RS"/>
        </w:rPr>
        <w:t>ктивности и мере за</w:t>
      </w:r>
      <w:r w:rsidR="00270FEF" w:rsidRPr="00884CF0">
        <w:rPr>
          <w:rStyle w:val="italik"/>
          <w:rFonts w:eastAsiaTheme="majorEastAsia"/>
          <w:lang w:val="sr-Cyrl-RS"/>
        </w:rPr>
        <w:t xml:space="preserve"> постизање циљева НОКС-а </w:t>
      </w:r>
      <w:r w:rsidR="001C77B2" w:rsidRPr="00884CF0">
        <w:rPr>
          <w:rStyle w:val="italik"/>
          <w:rFonts w:eastAsiaTheme="majorEastAsia"/>
          <w:lang w:val="sr-Cyrl-RS"/>
        </w:rPr>
        <w:t xml:space="preserve">нису </w:t>
      </w:r>
      <w:r w:rsidR="00206B5F" w:rsidRPr="00884CF0">
        <w:rPr>
          <w:rStyle w:val="italik"/>
          <w:rFonts w:eastAsiaTheme="majorEastAsia"/>
          <w:lang w:val="sr-Cyrl-RS"/>
        </w:rPr>
        <w:t>били у потпуности</w:t>
      </w:r>
      <w:r w:rsidR="001C77B2" w:rsidRPr="00884CF0">
        <w:rPr>
          <w:rStyle w:val="italik"/>
          <w:rFonts w:eastAsiaTheme="majorEastAsia"/>
          <w:lang w:val="sr-Cyrl-RS"/>
        </w:rPr>
        <w:t xml:space="preserve"> </w:t>
      </w:r>
      <w:r w:rsidR="001C77B2" w:rsidRPr="00884CF0">
        <w:rPr>
          <w:rStyle w:val="italik"/>
          <w:rFonts w:eastAsiaTheme="majorEastAsia"/>
          <w:lang w:val="sr-Cyrl-RS"/>
        </w:rPr>
        <w:lastRenderedPageBreak/>
        <w:t xml:space="preserve">експлицирани, </w:t>
      </w:r>
      <w:r w:rsidR="00196C58" w:rsidRPr="00884CF0">
        <w:rPr>
          <w:rStyle w:val="italik"/>
          <w:rFonts w:eastAsiaTheme="majorEastAsia"/>
          <w:lang w:val="sr-Cyrl-RS"/>
        </w:rPr>
        <w:t>те</w:t>
      </w:r>
      <w:r w:rsidR="001C77B2" w:rsidRPr="00884CF0">
        <w:rPr>
          <w:rStyle w:val="italik"/>
          <w:rFonts w:eastAsiaTheme="majorEastAsia"/>
          <w:lang w:val="sr-Cyrl-RS"/>
        </w:rPr>
        <w:t xml:space="preserve"> ће </w:t>
      </w:r>
      <w:r w:rsidR="00196C58" w:rsidRPr="00884CF0">
        <w:rPr>
          <w:rStyle w:val="italik"/>
          <w:rFonts w:eastAsiaTheme="majorEastAsia"/>
          <w:lang w:val="sr-Cyrl-RS"/>
        </w:rPr>
        <w:t>ови подаци</w:t>
      </w:r>
      <w:r w:rsidR="001C77B2" w:rsidRPr="00884CF0">
        <w:rPr>
          <w:rStyle w:val="italik"/>
          <w:rFonts w:eastAsiaTheme="majorEastAsia"/>
          <w:lang w:val="sr-Cyrl-RS"/>
        </w:rPr>
        <w:t xml:space="preserve"> бити рекон</w:t>
      </w:r>
      <w:r w:rsidR="00206B5F" w:rsidRPr="00884CF0">
        <w:rPr>
          <w:rStyle w:val="italik"/>
          <w:rFonts w:eastAsiaTheme="majorEastAsia"/>
          <w:lang w:val="sr-Cyrl-RS"/>
        </w:rPr>
        <w:t>с</w:t>
      </w:r>
      <w:r w:rsidR="001C77B2" w:rsidRPr="00884CF0">
        <w:rPr>
          <w:rStyle w:val="italik"/>
          <w:rFonts w:eastAsiaTheme="majorEastAsia"/>
          <w:lang w:val="sr-Cyrl-RS"/>
        </w:rPr>
        <w:t>труисани кроз квалитативни део истраживања</w:t>
      </w:r>
      <w:r w:rsidR="00206B5F" w:rsidRPr="00884CF0">
        <w:rPr>
          <w:rStyle w:val="italik"/>
          <w:rFonts w:eastAsiaTheme="majorEastAsia"/>
          <w:lang w:val="sr-Cyrl-RS"/>
        </w:rPr>
        <w:t>.</w:t>
      </w:r>
    </w:p>
    <w:p w14:paraId="31F3E861" w14:textId="474AE8FB" w:rsidR="00206B5F" w:rsidRPr="00884CF0" w:rsidRDefault="00206B5F" w:rsidP="00884CF0">
      <w:pPr>
        <w:pStyle w:val="basic-paragraph"/>
        <w:spacing w:before="0" w:beforeAutospacing="0" w:after="0" w:afterAutospacing="0" w:line="360" w:lineRule="auto"/>
        <w:ind w:firstLine="720"/>
        <w:jc w:val="both"/>
        <w:rPr>
          <w:rFonts w:eastAsiaTheme="minorHAnsi" w:cs="B Nazanin"/>
          <w:szCs w:val="32"/>
          <w:lang w:val="sr-Cyrl-RS"/>
        </w:rPr>
      </w:pPr>
      <w:r w:rsidRPr="00884CF0">
        <w:rPr>
          <w:rFonts w:eastAsiaTheme="minorHAnsi" w:cs="B Nazanin"/>
          <w:szCs w:val="32"/>
          <w:lang w:val="sr-Cyrl-RS"/>
        </w:rPr>
        <w:t xml:space="preserve">Сврха ново </w:t>
      </w:r>
      <w:r w:rsidR="00884CF0" w:rsidRPr="00884CF0">
        <w:rPr>
          <w:rFonts w:eastAsiaTheme="minorHAnsi" w:cs="B Nazanin"/>
          <w:szCs w:val="32"/>
          <w:lang w:val="sr-Cyrl-RS"/>
        </w:rPr>
        <w:t>успостављеног</w:t>
      </w:r>
      <w:r w:rsidRPr="00884CF0">
        <w:rPr>
          <w:rFonts w:eastAsiaTheme="minorHAnsi" w:cs="B Nazanin"/>
          <w:szCs w:val="32"/>
          <w:lang w:val="sr-Cyrl-RS"/>
        </w:rPr>
        <w:t xml:space="preserve"> НОКС-а бил</w:t>
      </w:r>
      <w:r w:rsidR="00E9756B">
        <w:rPr>
          <w:rFonts w:eastAsiaTheme="minorHAnsi" w:cs="B Nazanin"/>
          <w:szCs w:val="32"/>
          <w:lang w:val="sr-Cyrl-RS"/>
        </w:rPr>
        <w:t>а</w:t>
      </w:r>
      <w:r w:rsidRPr="00884CF0">
        <w:rPr>
          <w:rFonts w:eastAsiaTheme="minorHAnsi" w:cs="B Nazanin"/>
          <w:szCs w:val="32"/>
          <w:lang w:val="sr-Cyrl-RS"/>
        </w:rPr>
        <w:t xml:space="preserve"> је обезбеђивање подршке за примену концепта целоживотног учења, омогућавање лакше покретљивости радне снаге, као и уређивање и унапређивање система квалификација у складу са захтевима друштвено-економског развоја. Према овим принци</w:t>
      </w:r>
      <w:r w:rsidR="00884CF0" w:rsidRPr="00884CF0">
        <w:rPr>
          <w:rFonts w:eastAsiaTheme="minorHAnsi" w:cs="B Nazanin"/>
          <w:szCs w:val="32"/>
          <w:lang w:val="sr-Cyrl-RS"/>
        </w:rPr>
        <w:t>пи</w:t>
      </w:r>
      <w:r w:rsidRPr="00884CF0">
        <w:rPr>
          <w:rFonts w:eastAsiaTheme="minorHAnsi" w:cs="B Nazanin"/>
          <w:szCs w:val="32"/>
          <w:lang w:val="sr-Cyrl-RS"/>
        </w:rPr>
        <w:t>ма учење и образовање би требало да буду усмерени на развој компетенција које ће донети добити и на индивидуалном и на друштвеном плану. Са једне стране, поседовање компетенција потребних за живот у савременом друштву треба да потпомогне економски раст и успешно запослење, али и да са друге стране доведе до личних добити као што је унапређење здравља, квалитета живота и друштвене и грађанске укључености и ангажованости. Релевантност образовања огледа се у томе колико и</w:t>
      </w:r>
      <w:r w:rsidR="00196C58" w:rsidRPr="00884CF0">
        <w:rPr>
          <w:rFonts w:eastAsiaTheme="minorHAnsi" w:cs="B Nazanin"/>
          <w:szCs w:val="32"/>
          <w:lang w:val="sr-Cyrl-RS"/>
        </w:rPr>
        <w:t>сх</w:t>
      </w:r>
      <w:r w:rsidRPr="00884CF0">
        <w:rPr>
          <w:rFonts w:eastAsiaTheme="minorHAnsi" w:cs="B Nazanin"/>
          <w:szCs w:val="32"/>
          <w:lang w:val="sr-Cyrl-RS"/>
        </w:rPr>
        <w:t>оди образовања воде ка достизању компетенција неопходних за живот и укљученост у савремено друштво.</w:t>
      </w:r>
    </w:p>
    <w:p w14:paraId="752695A5" w14:textId="187E524D" w:rsidR="00206B5F" w:rsidRPr="00884CF0" w:rsidRDefault="00206B5F" w:rsidP="00884CF0">
      <w:pPr>
        <w:pStyle w:val="basic-paragraph"/>
        <w:spacing w:before="0" w:beforeAutospacing="0" w:after="0" w:afterAutospacing="0" w:line="360" w:lineRule="auto"/>
        <w:jc w:val="both"/>
        <w:rPr>
          <w:rFonts w:eastAsiaTheme="minorHAnsi" w:cs="B Nazanin"/>
          <w:szCs w:val="32"/>
          <w:lang w:val="sr-Cyrl-RS"/>
        </w:rPr>
      </w:pPr>
      <w:r w:rsidRPr="00884CF0">
        <w:rPr>
          <w:rFonts w:eastAsiaTheme="minorHAnsi" w:cs="B Nazanin"/>
          <w:szCs w:val="32"/>
          <w:lang w:val="sr-Cyrl-RS"/>
        </w:rPr>
        <w:t xml:space="preserve">Законом о НОКС-у </w:t>
      </w:r>
      <w:r w:rsidR="00270FEF" w:rsidRPr="00884CF0">
        <w:rPr>
          <w:rFonts w:eastAsiaTheme="minorHAnsi" w:cs="B Nazanin"/>
          <w:szCs w:val="32"/>
          <w:lang w:val="sr-Cyrl-RS"/>
        </w:rPr>
        <w:t xml:space="preserve">јасно је </w:t>
      </w:r>
      <w:r w:rsidRPr="00884CF0">
        <w:rPr>
          <w:rFonts w:eastAsiaTheme="minorHAnsi" w:cs="B Nazanin"/>
          <w:szCs w:val="32"/>
          <w:lang w:val="sr-Cyrl-RS"/>
        </w:rPr>
        <w:t>дефинисано девет његових циљева:</w:t>
      </w:r>
    </w:p>
    <w:p w14:paraId="6447D4EC" w14:textId="0C7E787F"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обезбеђивање разумљивости, прегледности и транспарентности квалификација, као и њихове међусобне повезаности</w:t>
      </w:r>
      <w:r w:rsidR="00E9756B">
        <w:rPr>
          <w:rFonts w:eastAsiaTheme="minorHAnsi" w:cs="B Nazanin"/>
          <w:szCs w:val="32"/>
          <w:lang w:val="sr-Cyrl-RS"/>
        </w:rPr>
        <w:t>;</w:t>
      </w:r>
    </w:p>
    <w:p w14:paraId="32C056D9" w14:textId="18CB7DC1"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развој стандарда квалификација заснованих на потребама тржишта рада и друштва у целини;</w:t>
      </w:r>
    </w:p>
    <w:p w14:paraId="17D09901" w14:textId="66C5C4E2"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обезбеђивање оријентисаности целокупног образовања на и</w:t>
      </w:r>
      <w:r w:rsidR="00884CF0">
        <w:rPr>
          <w:rFonts w:eastAsiaTheme="minorHAnsi" w:cs="B Nazanin"/>
          <w:szCs w:val="32"/>
          <w:lang w:val="sr-Cyrl-RS"/>
        </w:rPr>
        <w:t>сх</w:t>
      </w:r>
      <w:r w:rsidRPr="00884CF0">
        <w:rPr>
          <w:rFonts w:eastAsiaTheme="minorHAnsi" w:cs="B Nazanin"/>
          <w:szCs w:val="32"/>
          <w:lang w:val="sr-Cyrl-RS"/>
        </w:rPr>
        <w:t>оде учења којима се изграђују компетенције дефинисане стандардом дате квалификације;</w:t>
      </w:r>
    </w:p>
    <w:p w14:paraId="388A6A7E" w14:textId="7F2C3146"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унапређивање приступа, флексибилности путева и проходности у систему формалног и неформалног образовања</w:t>
      </w:r>
    </w:p>
    <w:p w14:paraId="31244748" w14:textId="79236EB2"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обезбеђивање препознавања и признавања неформалног и информалног учења;</w:t>
      </w:r>
    </w:p>
    <w:p w14:paraId="57CF5106" w14:textId="34CD7D76"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афирмисање значаја кључних, општих и међупредметних компетенција за учење током целог живота;</w:t>
      </w:r>
    </w:p>
    <w:p w14:paraId="4764320A" w14:textId="6888BB86"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унапређивање сарадње међу релевантним заинтересованим странама односно социјалним партнерима;</w:t>
      </w:r>
    </w:p>
    <w:p w14:paraId="69E081D2" w14:textId="64BDDE83"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обезбеђивање система квалитета у процесу развоја и стицања квалификација;</w:t>
      </w:r>
    </w:p>
    <w:p w14:paraId="64E14D79" w14:textId="59FAC676" w:rsidR="00206B5F" w:rsidRPr="00884CF0" w:rsidRDefault="00206B5F" w:rsidP="00884CF0">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lastRenderedPageBreak/>
        <w:t>обезбеђивање упоредивости и препознатљивости квалификација стечених у Републици Србији са квалификацијама стеченим у другим државама.</w:t>
      </w:r>
      <w:r w:rsidR="00270FEF" w:rsidRPr="00884CF0">
        <w:rPr>
          <w:rStyle w:val="FootnoteReference"/>
          <w:rFonts w:eastAsiaTheme="minorHAnsi" w:cs="B Nazanin"/>
          <w:szCs w:val="32"/>
          <w:lang w:val="sr-Cyrl-RS"/>
        </w:rPr>
        <w:footnoteReference w:id="12"/>
      </w:r>
    </w:p>
    <w:p w14:paraId="6DD62958" w14:textId="5307AD6A" w:rsidR="00CE30CE" w:rsidRPr="00884CF0" w:rsidRDefault="004D2222" w:rsidP="00884CF0">
      <w:pPr>
        <w:pStyle w:val="Heading2"/>
        <w:rPr>
          <w:rStyle w:val="italik"/>
          <w:lang w:val="sr-Cyrl-RS"/>
        </w:rPr>
      </w:pPr>
      <w:bookmarkStart w:id="8" w:name="_Toc119880822"/>
      <w:r w:rsidRPr="00884CF0">
        <w:rPr>
          <w:rStyle w:val="italik"/>
          <w:lang w:val="sr-Cyrl-RS"/>
        </w:rPr>
        <w:t>Корисници и циљеви евалуације</w:t>
      </w:r>
      <w:bookmarkEnd w:id="8"/>
    </w:p>
    <w:p w14:paraId="31AA8B2C" w14:textId="6F8E260D" w:rsidR="00F31296" w:rsidRPr="00884CF0" w:rsidRDefault="00884CF0" w:rsidP="00884CF0">
      <w:pPr>
        <w:pStyle w:val="basic-paragraph"/>
        <w:spacing w:before="0" w:beforeAutospacing="0" w:after="0" w:afterAutospacing="0" w:line="360" w:lineRule="auto"/>
        <w:ind w:firstLine="720"/>
        <w:jc w:val="both"/>
        <w:rPr>
          <w:rFonts w:eastAsiaTheme="majorEastAsia"/>
          <w:lang w:val="sr-Cyrl-RS"/>
        </w:rPr>
      </w:pPr>
      <w:r w:rsidRPr="00884CF0">
        <w:rPr>
          <w:rStyle w:val="italik"/>
          <w:rFonts w:eastAsiaTheme="majorEastAsia"/>
          <w:lang w:val="sr-Cyrl-RS"/>
        </w:rPr>
        <w:t>Евалуација</w:t>
      </w:r>
      <w:r w:rsidR="00AA692C" w:rsidRPr="00884CF0">
        <w:rPr>
          <w:rStyle w:val="italik"/>
          <w:rFonts w:eastAsiaTheme="majorEastAsia"/>
          <w:lang w:val="sr-Cyrl-RS"/>
        </w:rPr>
        <w:t xml:space="preserve"> НОКС-а као јавне политике </w:t>
      </w:r>
      <w:r w:rsidR="002C2E3B" w:rsidRPr="00884CF0">
        <w:rPr>
          <w:rStyle w:val="italik"/>
          <w:rFonts w:eastAsiaTheme="majorEastAsia"/>
          <w:lang w:val="sr-Cyrl-RS"/>
        </w:rPr>
        <w:t>иницирана</w:t>
      </w:r>
      <w:r w:rsidR="00150B53" w:rsidRPr="00884CF0">
        <w:rPr>
          <w:rStyle w:val="italik"/>
          <w:rFonts w:eastAsiaTheme="majorEastAsia"/>
          <w:lang w:val="sr-Cyrl-RS"/>
        </w:rPr>
        <w:t xml:space="preserve"> је од стране АЗК и МПНТР, </w:t>
      </w:r>
      <w:r w:rsidR="009E398D" w:rsidRPr="00884CF0">
        <w:rPr>
          <w:rStyle w:val="italik"/>
          <w:rFonts w:eastAsiaTheme="majorEastAsia"/>
          <w:lang w:val="sr-Cyrl-RS"/>
        </w:rPr>
        <w:t>међутим</w:t>
      </w:r>
      <w:r w:rsidR="00E51835" w:rsidRPr="00884CF0">
        <w:rPr>
          <w:rStyle w:val="italik"/>
          <w:rFonts w:eastAsiaTheme="majorEastAsia"/>
          <w:lang w:val="sr-Cyrl-RS"/>
        </w:rPr>
        <w:t xml:space="preserve"> </w:t>
      </w:r>
      <w:r w:rsidR="00150B53" w:rsidRPr="00884CF0">
        <w:rPr>
          <w:rStyle w:val="italik"/>
          <w:rFonts w:eastAsiaTheme="majorEastAsia"/>
          <w:lang w:val="sr-Cyrl-RS"/>
        </w:rPr>
        <w:t xml:space="preserve">подаци </w:t>
      </w:r>
      <w:r w:rsidRPr="00884CF0">
        <w:rPr>
          <w:rStyle w:val="italik"/>
          <w:rFonts w:eastAsiaTheme="majorEastAsia"/>
          <w:lang w:val="sr-Cyrl-RS"/>
        </w:rPr>
        <w:t>прикупљени</w:t>
      </w:r>
      <w:r w:rsidR="00150B53" w:rsidRPr="00884CF0">
        <w:rPr>
          <w:rStyle w:val="italik"/>
          <w:rFonts w:eastAsiaTheme="majorEastAsia"/>
          <w:lang w:val="sr-Cyrl-RS"/>
        </w:rPr>
        <w:t xml:space="preserve"> евалуацијом би</w:t>
      </w:r>
      <w:r w:rsidR="009E398D" w:rsidRPr="00884CF0">
        <w:rPr>
          <w:rStyle w:val="italik"/>
          <w:rFonts w:eastAsiaTheme="majorEastAsia"/>
          <w:lang w:val="sr-Cyrl-RS"/>
        </w:rPr>
        <w:t>ће</w:t>
      </w:r>
      <w:r w:rsidR="00150B53" w:rsidRPr="00884CF0">
        <w:rPr>
          <w:rStyle w:val="italik"/>
          <w:rFonts w:eastAsiaTheme="majorEastAsia"/>
          <w:lang w:val="sr-Cyrl-RS"/>
        </w:rPr>
        <w:t xml:space="preserve"> од </w:t>
      </w:r>
      <w:r w:rsidR="00C32806" w:rsidRPr="00884CF0">
        <w:rPr>
          <w:rStyle w:val="italik"/>
          <w:rFonts w:eastAsiaTheme="majorEastAsia"/>
          <w:lang w:val="sr-Cyrl-RS"/>
        </w:rPr>
        <w:t>значаја</w:t>
      </w:r>
      <w:r w:rsidR="00150B53" w:rsidRPr="00884CF0">
        <w:rPr>
          <w:rStyle w:val="italik"/>
          <w:rFonts w:eastAsiaTheme="majorEastAsia"/>
          <w:lang w:val="sr-Cyrl-RS"/>
        </w:rPr>
        <w:t xml:space="preserve"> и </w:t>
      </w:r>
      <w:r w:rsidR="00C32806" w:rsidRPr="00884CF0">
        <w:rPr>
          <w:rStyle w:val="italik"/>
          <w:rFonts w:eastAsiaTheme="majorEastAsia"/>
          <w:lang w:val="sr-Cyrl-RS"/>
        </w:rPr>
        <w:t xml:space="preserve">свим </w:t>
      </w:r>
      <w:r w:rsidR="00150B53" w:rsidRPr="00884CF0">
        <w:rPr>
          <w:rStyle w:val="italik"/>
          <w:rFonts w:eastAsiaTheme="majorEastAsia"/>
          <w:lang w:val="sr-Cyrl-RS"/>
        </w:rPr>
        <w:t xml:space="preserve">другим </w:t>
      </w:r>
      <w:r w:rsidR="00F31296" w:rsidRPr="00884CF0">
        <w:rPr>
          <w:rStyle w:val="italik"/>
          <w:rFonts w:eastAsiaTheme="majorEastAsia"/>
          <w:lang w:val="sr-Cyrl-RS"/>
        </w:rPr>
        <w:t>партнерима и заинтересованим странама.</w:t>
      </w:r>
      <w:r w:rsidR="009E398D" w:rsidRPr="00884CF0">
        <w:rPr>
          <w:rStyle w:val="italik"/>
          <w:rFonts w:eastAsiaTheme="majorEastAsia"/>
          <w:lang w:val="sr-Cyrl-RS"/>
        </w:rPr>
        <w:t xml:space="preserve"> </w:t>
      </w:r>
      <w:r w:rsidR="00F31296" w:rsidRPr="00884CF0">
        <w:rPr>
          <w:lang w:val="sr-Cyrl-RS"/>
        </w:rPr>
        <w:t>Пажљива евалуација и прихватање стандарда квалификација је централна референтна тачка за текућу мисију НОКС-а који треба да побољша квалитет образовне понуде у РС.</w:t>
      </w:r>
      <w:r w:rsidR="00041431" w:rsidRPr="00884CF0">
        <w:rPr>
          <w:lang w:val="sr-Cyrl-RS"/>
        </w:rPr>
        <w:t xml:space="preserve"> </w:t>
      </w:r>
      <w:r w:rsidR="00F31296" w:rsidRPr="00884CF0">
        <w:rPr>
          <w:lang w:val="sr-Cyrl-RS"/>
        </w:rPr>
        <w:t>Користећи јасно утврђен процес развоја стандарда, НОКС подстиче укљученост и консензус међу широким спектром заинтересованих страна, а специфични стандарди добијају епитет индикатора који се могу користити за мерење и јавно извештавање о квалитету образовања у РС.</w:t>
      </w:r>
    </w:p>
    <w:p w14:paraId="3D8F3F52" w14:textId="4457B879" w:rsidR="000D3C7D" w:rsidRDefault="000470BC" w:rsidP="000D3C7D">
      <w:pPr>
        <w:pStyle w:val="yiv3556016610msonormal"/>
        <w:spacing w:before="0" w:beforeAutospacing="0" w:after="0" w:afterAutospacing="0" w:line="360" w:lineRule="auto"/>
        <w:ind w:firstLine="720"/>
        <w:jc w:val="both"/>
        <w:rPr>
          <w:rStyle w:val="italik"/>
          <w:lang w:val="sr-Cyrl-RS"/>
        </w:rPr>
      </w:pPr>
      <w:r w:rsidRPr="00884CF0">
        <w:rPr>
          <w:lang w:val="sr-Cyrl-RS"/>
        </w:rPr>
        <w:t xml:space="preserve">Осим што треба да да увид у </w:t>
      </w:r>
      <w:r w:rsidR="0068379E" w:rsidRPr="00884CF0">
        <w:rPr>
          <w:lang w:val="sr-Cyrl-RS"/>
        </w:rPr>
        <w:t>то како је политика НОКС-а спроведена</w:t>
      </w:r>
      <w:r w:rsidRPr="00884CF0">
        <w:rPr>
          <w:lang w:val="sr-Cyrl-RS"/>
        </w:rPr>
        <w:t xml:space="preserve">, </w:t>
      </w:r>
      <w:r w:rsidR="004D59D1" w:rsidRPr="00884CF0">
        <w:rPr>
          <w:lang w:val="sr-Cyrl-RS"/>
        </w:rPr>
        <w:t xml:space="preserve">најзначајнији део евалуације односиће се на његову ефективност и </w:t>
      </w:r>
      <w:r w:rsidR="00F31296" w:rsidRPr="00884CF0">
        <w:rPr>
          <w:lang w:val="sr-Cyrl-RS"/>
        </w:rPr>
        <w:t>утврђивање одобрених мера учинка који се могу користити за мерење и квантификацију образовних процеса (укључујући развој образовних  програма), и</w:t>
      </w:r>
      <w:r w:rsidR="009E398D" w:rsidRPr="00884CF0">
        <w:rPr>
          <w:lang w:val="sr-Cyrl-RS"/>
        </w:rPr>
        <w:t>сх</w:t>
      </w:r>
      <w:r w:rsidR="00F31296" w:rsidRPr="00884CF0">
        <w:rPr>
          <w:lang w:val="sr-Cyrl-RS"/>
        </w:rPr>
        <w:t xml:space="preserve">ода </w:t>
      </w:r>
      <w:r w:rsidR="009E398D" w:rsidRPr="00884CF0">
        <w:rPr>
          <w:lang w:val="sr-Cyrl-RS"/>
        </w:rPr>
        <w:t>и</w:t>
      </w:r>
      <w:r w:rsidR="00F31296" w:rsidRPr="00884CF0">
        <w:rPr>
          <w:lang w:val="sr-Cyrl-RS"/>
        </w:rPr>
        <w:t xml:space="preserve"> постигнућа појединца (образовних и економских – запошљавање </w:t>
      </w:r>
      <w:r w:rsidR="009E398D" w:rsidRPr="00884CF0">
        <w:rPr>
          <w:lang w:val="sr-Cyrl-RS"/>
        </w:rPr>
        <w:t>и</w:t>
      </w:r>
      <w:r w:rsidR="00F31296" w:rsidRPr="00884CF0">
        <w:rPr>
          <w:lang w:val="sr-Cyrl-RS"/>
        </w:rPr>
        <w:t xml:space="preserve"> каријерно напредовање), перцепције појединца и стручњака и/или система који су повезани са могу</w:t>
      </w:r>
      <w:r w:rsidR="009E398D" w:rsidRPr="00884CF0">
        <w:rPr>
          <w:lang w:val="sr-Cyrl-RS"/>
        </w:rPr>
        <w:t>ћношћу</w:t>
      </w:r>
      <w:r w:rsidR="00F31296" w:rsidRPr="00884CF0">
        <w:rPr>
          <w:lang w:val="sr-Cyrl-RS"/>
        </w:rPr>
        <w:t xml:space="preserve"> пружања висококвалитетне услуге образовањ</w:t>
      </w:r>
      <w:r w:rsidR="00F711AE" w:rsidRPr="00884CF0">
        <w:rPr>
          <w:lang w:val="sr-Cyrl-RS"/>
        </w:rPr>
        <w:t>а</w:t>
      </w:r>
      <w:r w:rsidR="00F31296" w:rsidRPr="00884CF0">
        <w:rPr>
          <w:lang w:val="sr-Cyrl-RS"/>
        </w:rPr>
        <w:t xml:space="preserve"> и запошљавања. </w:t>
      </w:r>
      <w:r w:rsidR="009E398D" w:rsidRPr="00884CF0">
        <w:rPr>
          <w:lang w:val="sr-Cyrl-RS"/>
        </w:rPr>
        <w:t>О</w:t>
      </w:r>
      <w:r w:rsidR="00F31296" w:rsidRPr="00884CF0">
        <w:rPr>
          <w:lang w:val="sr-Cyrl-RS"/>
        </w:rPr>
        <w:t xml:space="preserve">добрене </w:t>
      </w:r>
      <w:r w:rsidR="009E398D" w:rsidRPr="00884CF0">
        <w:rPr>
          <w:lang w:val="sr-Cyrl-RS"/>
        </w:rPr>
        <w:t>и</w:t>
      </w:r>
      <w:r w:rsidR="00F31296" w:rsidRPr="00884CF0">
        <w:rPr>
          <w:lang w:val="sr-Cyrl-RS"/>
        </w:rPr>
        <w:t xml:space="preserve"> прихваћене мере учинка НОКС-а могу користити провајдери у образовању, систем образовања </w:t>
      </w:r>
      <w:r w:rsidR="009E398D" w:rsidRPr="00884CF0">
        <w:rPr>
          <w:lang w:val="sr-Cyrl-RS"/>
        </w:rPr>
        <w:t>и</w:t>
      </w:r>
      <w:r w:rsidR="00F31296" w:rsidRPr="00884CF0">
        <w:rPr>
          <w:lang w:val="sr-Cyrl-RS"/>
        </w:rPr>
        <w:t xml:space="preserve"> запошљавања, али </w:t>
      </w:r>
      <w:r w:rsidR="009E398D" w:rsidRPr="00884CF0">
        <w:rPr>
          <w:lang w:val="sr-Cyrl-RS"/>
        </w:rPr>
        <w:t xml:space="preserve">и </w:t>
      </w:r>
      <w:r w:rsidR="00F31296" w:rsidRPr="00884CF0">
        <w:rPr>
          <w:lang w:val="sr-Cyrl-RS"/>
        </w:rPr>
        <w:t>остале владине институције и агенције, као организације цивилног сектора.</w:t>
      </w:r>
    </w:p>
    <w:p w14:paraId="233CB509" w14:textId="3B7CF88B" w:rsidR="00D209B7" w:rsidRPr="00884CF0" w:rsidRDefault="00AA692C" w:rsidP="000D3C7D">
      <w:pPr>
        <w:pStyle w:val="Heading2"/>
        <w:rPr>
          <w:lang w:val="sr-Cyrl-RS"/>
        </w:rPr>
      </w:pPr>
      <w:bookmarkStart w:id="9" w:name="_Toc119880823"/>
      <w:r w:rsidRPr="00884CF0">
        <w:rPr>
          <w:rStyle w:val="italik"/>
          <w:lang w:val="sr-Cyrl-RS"/>
        </w:rPr>
        <w:t>Евалуативн</w:t>
      </w:r>
      <w:r w:rsidR="00154BFA">
        <w:rPr>
          <w:rStyle w:val="italik"/>
          <w:lang w:val="sr-Cyrl-RS"/>
        </w:rPr>
        <w:t>и критеријуми и</w:t>
      </w:r>
      <w:r w:rsidRPr="00884CF0">
        <w:rPr>
          <w:rStyle w:val="italik"/>
          <w:lang w:val="sr-Cyrl-RS"/>
        </w:rPr>
        <w:t xml:space="preserve"> питања</w:t>
      </w:r>
      <w:bookmarkEnd w:id="9"/>
    </w:p>
    <w:p w14:paraId="020B64F8" w14:textId="1DBF32B9" w:rsidR="00DA6790" w:rsidRPr="00884CF0" w:rsidRDefault="00D209B7" w:rsidP="00884CF0">
      <w:pPr>
        <w:pStyle w:val="basic-paragraph"/>
        <w:spacing w:before="0" w:beforeAutospacing="0" w:after="0" w:afterAutospacing="0" w:line="360" w:lineRule="auto"/>
        <w:jc w:val="both"/>
        <w:rPr>
          <w:rFonts w:eastAsiaTheme="minorHAnsi" w:cs="B Nazanin"/>
          <w:i/>
          <w:iCs/>
          <w:szCs w:val="32"/>
          <w:lang w:val="sr-Cyrl-RS"/>
        </w:rPr>
      </w:pPr>
      <w:r w:rsidRPr="00884CF0">
        <w:rPr>
          <w:lang w:val="sr-Cyrl-RS"/>
        </w:rPr>
        <w:tab/>
        <w:t>У овом одељку биће описан</w:t>
      </w:r>
      <w:r w:rsidR="008C7DA7" w:rsidRPr="00884CF0">
        <w:rPr>
          <w:lang w:val="sr-Cyrl-RS"/>
        </w:rPr>
        <w:t>а евалуативна матрица, односно</w:t>
      </w:r>
      <w:r w:rsidRPr="00884CF0">
        <w:rPr>
          <w:lang w:val="sr-Cyrl-RS"/>
        </w:rPr>
        <w:t xml:space="preserve"> препоручени </w:t>
      </w:r>
      <w:r w:rsidR="00424DB5" w:rsidRPr="00884CF0">
        <w:rPr>
          <w:lang w:val="sr-Cyrl-RS"/>
        </w:rPr>
        <w:t xml:space="preserve">кључни </w:t>
      </w:r>
      <w:r w:rsidRPr="00884CF0">
        <w:rPr>
          <w:lang w:val="sr-Cyrl-RS"/>
        </w:rPr>
        <w:t xml:space="preserve">евалуативни критеријуми и за њих везана </w:t>
      </w:r>
      <w:r w:rsidR="000D3C7D">
        <w:rPr>
          <w:lang w:val="sr-Cyrl-RS"/>
        </w:rPr>
        <w:t xml:space="preserve">евалуативна </w:t>
      </w:r>
      <w:r w:rsidRPr="00884CF0">
        <w:rPr>
          <w:lang w:val="sr-Cyrl-RS"/>
        </w:rPr>
        <w:t>питања</w:t>
      </w:r>
      <w:r w:rsidR="008C7DA7" w:rsidRPr="00884CF0">
        <w:rPr>
          <w:lang w:val="sr-Cyrl-RS"/>
        </w:rPr>
        <w:t xml:space="preserve"> </w:t>
      </w:r>
      <w:r w:rsidRPr="00884CF0">
        <w:rPr>
          <w:lang w:val="sr-Cyrl-RS"/>
        </w:rPr>
        <w:t xml:space="preserve">на основу којих ће се спровести вредновање </w:t>
      </w:r>
      <w:r w:rsidR="00AA6F46" w:rsidRPr="00884CF0">
        <w:rPr>
          <w:lang w:val="sr-Cyrl-RS"/>
        </w:rPr>
        <w:t>имплементације</w:t>
      </w:r>
      <w:r w:rsidRPr="00884CF0">
        <w:rPr>
          <w:lang w:val="sr-Cyrl-RS"/>
        </w:rPr>
        <w:t xml:space="preserve"> и </w:t>
      </w:r>
      <w:r w:rsidR="00884CF0" w:rsidRPr="00884CF0">
        <w:rPr>
          <w:lang w:val="sr-Cyrl-RS"/>
        </w:rPr>
        <w:t>ефеката</w:t>
      </w:r>
      <w:r w:rsidRPr="00884CF0">
        <w:rPr>
          <w:lang w:val="sr-Cyrl-RS"/>
        </w:rPr>
        <w:t xml:space="preserve"> НОКС-а</w:t>
      </w:r>
      <w:r w:rsidR="00DA6790" w:rsidRPr="00884CF0">
        <w:rPr>
          <w:lang w:val="sr-Cyrl-RS"/>
        </w:rPr>
        <w:t xml:space="preserve">. </w:t>
      </w:r>
      <w:r w:rsidR="00DA6790" w:rsidRPr="00884CF0">
        <w:rPr>
          <w:rFonts w:eastAsiaTheme="minorHAnsi" w:cs="B Nazanin"/>
          <w:i/>
          <w:iCs/>
          <w:szCs w:val="32"/>
          <w:lang w:val="sr-Cyrl-RS"/>
        </w:rPr>
        <w:t xml:space="preserve">Због специфичних околности које су подразумевале измењен процес рада услед пандемије вируса COVID-19 и чињенице да је 2022. година била изборна и да су се ишчекивале институционалне промене унутар Владе РС (промена броја и кадровске структуре министарстава, истек мандата чланова Савета за НОКС и последичне промене у структури Секторских већа) било је онемогућено у потпуности </w:t>
      </w:r>
      <w:r w:rsidR="00884CF0" w:rsidRPr="00884CF0">
        <w:rPr>
          <w:rFonts w:eastAsiaTheme="minorHAnsi" w:cs="B Nazanin"/>
          <w:i/>
          <w:iCs/>
          <w:szCs w:val="32"/>
          <w:lang w:val="sr-Cyrl-RS"/>
        </w:rPr>
        <w:t>спровести</w:t>
      </w:r>
      <w:r w:rsidR="00DA6790" w:rsidRPr="00884CF0">
        <w:rPr>
          <w:rFonts w:eastAsiaTheme="minorHAnsi" w:cs="B Nazanin"/>
          <w:i/>
          <w:iCs/>
          <w:szCs w:val="32"/>
          <w:lang w:val="sr-Cyrl-RS"/>
        </w:rPr>
        <w:t xml:space="preserve"> консултативни процес који би дао кључне саговорнике на наведене теме, те ће ове консултације бити реализоване чим се стекну </w:t>
      </w:r>
      <w:r w:rsidR="00DA6790" w:rsidRPr="00884CF0">
        <w:rPr>
          <w:rFonts w:eastAsiaTheme="minorHAnsi" w:cs="B Nazanin"/>
          <w:i/>
          <w:iCs/>
          <w:szCs w:val="32"/>
          <w:lang w:val="sr-Cyrl-RS"/>
        </w:rPr>
        <w:lastRenderedPageBreak/>
        <w:t xml:space="preserve">одговарајући услови, након чега ће доћи до ревидирања и финалног дефинисања методолошког оквира </w:t>
      </w:r>
      <w:r w:rsidR="00884CF0" w:rsidRPr="00884CF0">
        <w:rPr>
          <w:rFonts w:eastAsiaTheme="minorHAnsi" w:cs="B Nazanin"/>
          <w:i/>
          <w:iCs/>
          <w:szCs w:val="32"/>
          <w:lang w:val="sr-Cyrl-RS"/>
        </w:rPr>
        <w:t>евалуације</w:t>
      </w:r>
      <w:r w:rsidR="00DA6790" w:rsidRPr="00884CF0">
        <w:rPr>
          <w:rFonts w:eastAsiaTheme="minorHAnsi" w:cs="B Nazanin"/>
          <w:i/>
          <w:iCs/>
          <w:szCs w:val="32"/>
          <w:lang w:val="sr-Cyrl-RS"/>
        </w:rPr>
        <w:t>.</w:t>
      </w:r>
    </w:p>
    <w:p w14:paraId="09371713" w14:textId="3E00D3D0" w:rsidR="00D209B7" w:rsidRPr="00884CF0" w:rsidRDefault="00DA6790" w:rsidP="00884CF0">
      <w:pPr>
        <w:pStyle w:val="basic-paragraph"/>
        <w:spacing w:before="0" w:beforeAutospacing="0" w:after="0" w:afterAutospacing="0" w:line="360" w:lineRule="auto"/>
        <w:jc w:val="both"/>
        <w:rPr>
          <w:rFonts w:eastAsiaTheme="minorHAnsi" w:cs="B Nazanin"/>
          <w:i/>
          <w:iCs/>
          <w:szCs w:val="32"/>
          <w:lang w:val="sr-Cyrl-RS"/>
        </w:rPr>
      </w:pPr>
      <w:r w:rsidRPr="00884CF0">
        <w:rPr>
          <w:rFonts w:eastAsiaTheme="minorHAnsi" w:cs="B Nazanin"/>
          <w:i/>
          <w:iCs/>
          <w:szCs w:val="32"/>
          <w:lang w:val="sr-Cyrl-RS"/>
        </w:rPr>
        <w:t>Осим тога, током процеса израде плана евалуације Влада РС је донела нову Уредбу о оснивању Канцеларије за дуално образовање и Национални оквир квалификација</w:t>
      </w:r>
      <w:r w:rsidRPr="00884CF0">
        <w:rPr>
          <w:rStyle w:val="FootnoteReference"/>
          <w:rFonts w:eastAsiaTheme="minorHAnsi" w:cs="B Nazanin"/>
          <w:i/>
          <w:iCs/>
          <w:szCs w:val="32"/>
          <w:lang w:val="sr-Cyrl-RS"/>
        </w:rPr>
        <w:footnoteReference w:id="13"/>
      </w:r>
      <w:r w:rsidRPr="00884CF0">
        <w:rPr>
          <w:rFonts w:eastAsiaTheme="minorHAnsi" w:cs="B Nazanin"/>
          <w:i/>
          <w:iCs/>
          <w:szCs w:val="32"/>
          <w:lang w:val="sr-Cyrl-RS"/>
        </w:rPr>
        <w:t xml:space="preserve"> којом се имплементација НОКС-а проширује са МПНТР и АЗК и на ову Канцеларију, што у значајној мери усложњава систем НОКС-а првенствено у делу који се односи на координацију и </w:t>
      </w:r>
      <w:r w:rsidR="00884CF0" w:rsidRPr="00884CF0">
        <w:rPr>
          <w:rFonts w:eastAsiaTheme="minorHAnsi" w:cs="B Nazanin"/>
          <w:i/>
          <w:iCs/>
          <w:szCs w:val="32"/>
          <w:lang w:val="sr-Cyrl-RS"/>
        </w:rPr>
        <w:t>управљање</w:t>
      </w:r>
      <w:r w:rsidRPr="00884CF0">
        <w:rPr>
          <w:rFonts w:eastAsiaTheme="minorHAnsi" w:cs="B Nazanin"/>
          <w:i/>
          <w:iCs/>
          <w:szCs w:val="32"/>
          <w:lang w:val="sr-Cyrl-RS"/>
        </w:rPr>
        <w:t xml:space="preserve"> и представља околност која захтева додатне консултације и прилагођавање плана евалуације. </w:t>
      </w:r>
    </w:p>
    <w:p w14:paraId="3B25D207" w14:textId="77777777" w:rsidR="009B2CE9" w:rsidRDefault="009B2CE9">
      <w:pPr>
        <w:spacing w:line="240" w:lineRule="auto"/>
        <w:rPr>
          <w:rStyle w:val="italik"/>
          <w:rFonts w:eastAsiaTheme="majorEastAsia"/>
          <w:b/>
          <w:bCs/>
          <w:i/>
          <w:sz w:val="26"/>
          <w:lang w:val="sr-Cyrl-RS"/>
        </w:rPr>
      </w:pPr>
      <w:r>
        <w:rPr>
          <w:rStyle w:val="italik"/>
          <w:lang w:val="sr-Cyrl-RS"/>
        </w:rPr>
        <w:br w:type="page"/>
      </w:r>
    </w:p>
    <w:p w14:paraId="6D0C2F09" w14:textId="701D9D3B" w:rsidR="006A76F0" w:rsidRPr="00884CF0" w:rsidRDefault="00D209B7" w:rsidP="00884CF0">
      <w:pPr>
        <w:pStyle w:val="Heading3"/>
        <w:rPr>
          <w:rStyle w:val="italik"/>
          <w:lang w:val="sr-Cyrl-RS"/>
        </w:rPr>
      </w:pPr>
      <w:bookmarkStart w:id="10" w:name="_Toc119880824"/>
      <w:r w:rsidRPr="00884CF0">
        <w:rPr>
          <w:rStyle w:val="italik"/>
          <w:lang w:val="sr-Cyrl-RS"/>
        </w:rPr>
        <w:lastRenderedPageBreak/>
        <w:t>Р</w:t>
      </w:r>
      <w:r w:rsidR="00DA6790" w:rsidRPr="00884CF0">
        <w:rPr>
          <w:rStyle w:val="italik"/>
          <w:lang w:val="sr-Cyrl-RS"/>
        </w:rPr>
        <w:t>е</w:t>
      </w:r>
      <w:r w:rsidRPr="00884CF0">
        <w:rPr>
          <w:rStyle w:val="italik"/>
          <w:lang w:val="sr-Cyrl-RS"/>
        </w:rPr>
        <w:t>левантност</w:t>
      </w:r>
      <w:bookmarkEnd w:id="10"/>
      <w:r w:rsidRPr="00884CF0">
        <w:rPr>
          <w:rStyle w:val="italik"/>
          <w:lang w:val="sr-Cyrl-RS"/>
        </w:rPr>
        <w:t xml:space="preserve"> </w:t>
      </w:r>
    </w:p>
    <w:p w14:paraId="3B2F288B" w14:textId="3F279B05" w:rsidR="00545EB8" w:rsidRPr="00884CF0" w:rsidRDefault="00B348B3" w:rsidP="000D3C7D">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 xml:space="preserve">Процена релевантности </w:t>
      </w:r>
      <w:r w:rsidR="00EA63D0" w:rsidRPr="00884CF0">
        <w:rPr>
          <w:rStyle w:val="italik"/>
          <w:rFonts w:eastAsiaTheme="majorEastAsia"/>
          <w:lang w:val="sr-Cyrl-RS"/>
        </w:rPr>
        <w:t xml:space="preserve">треба да одговори на питање </w:t>
      </w:r>
      <w:r w:rsidR="00D209B7" w:rsidRPr="00884CF0">
        <w:rPr>
          <w:rStyle w:val="italik"/>
          <w:rFonts w:eastAsiaTheme="majorEastAsia"/>
          <w:lang w:val="sr-Cyrl-RS"/>
        </w:rPr>
        <w:t xml:space="preserve">да ли се јавном политиком као </w:t>
      </w:r>
      <w:r w:rsidR="00884CF0" w:rsidRPr="00884CF0">
        <w:rPr>
          <w:rStyle w:val="italik"/>
          <w:rFonts w:eastAsiaTheme="majorEastAsia"/>
          <w:lang w:val="sr-Cyrl-RS"/>
        </w:rPr>
        <w:t>интервенцијом</w:t>
      </w:r>
      <w:r w:rsidR="00D209B7" w:rsidRPr="00884CF0">
        <w:rPr>
          <w:rStyle w:val="italik"/>
          <w:rFonts w:eastAsiaTheme="majorEastAsia"/>
          <w:lang w:val="sr-Cyrl-RS"/>
        </w:rPr>
        <w:t xml:space="preserve"> постиже оно што је </w:t>
      </w:r>
      <w:r w:rsidR="00EA63D0" w:rsidRPr="00884CF0">
        <w:rPr>
          <w:rStyle w:val="italik"/>
          <w:rFonts w:eastAsiaTheme="majorEastAsia"/>
          <w:lang w:val="sr-Cyrl-RS"/>
        </w:rPr>
        <w:t xml:space="preserve">њоме било </w:t>
      </w:r>
      <w:r w:rsidR="00D209B7" w:rsidRPr="00884CF0">
        <w:rPr>
          <w:rStyle w:val="italik"/>
          <w:rFonts w:eastAsiaTheme="majorEastAsia"/>
          <w:lang w:val="sr-Cyrl-RS"/>
        </w:rPr>
        <w:t>планирано</w:t>
      </w:r>
      <w:r w:rsidRPr="00884CF0">
        <w:rPr>
          <w:rStyle w:val="italik"/>
          <w:rFonts w:eastAsiaTheme="majorEastAsia"/>
          <w:lang w:val="sr-Cyrl-RS"/>
        </w:rPr>
        <w:t xml:space="preserve">. Овај критеријум вредновања </w:t>
      </w:r>
      <w:r w:rsidR="00545EB8" w:rsidRPr="00884CF0">
        <w:rPr>
          <w:rStyle w:val="italik"/>
          <w:rFonts w:eastAsiaTheme="majorEastAsia"/>
          <w:lang w:val="sr-Cyrl-RS"/>
        </w:rPr>
        <w:t>обухвата следећа евалуативна питања</w:t>
      </w:r>
      <w:r w:rsidR="006A76F0" w:rsidRPr="00884CF0">
        <w:rPr>
          <w:rStyle w:val="italik"/>
          <w:rFonts w:eastAsiaTheme="majorEastAsia"/>
          <w:lang w:val="sr-Cyrl-RS"/>
        </w:rPr>
        <w:t xml:space="preserve"> која се односе на релевантност НОКС-а у тренутку дизајнирања, као и у садашњем тренутку</w:t>
      </w:r>
      <w:r w:rsidR="00545EB8" w:rsidRPr="00884CF0">
        <w:rPr>
          <w:rStyle w:val="italik"/>
          <w:rFonts w:eastAsiaTheme="majorEastAsia"/>
          <w:lang w:val="sr-Cyrl-RS"/>
        </w:rPr>
        <w:t>:</w:t>
      </w:r>
    </w:p>
    <w:p w14:paraId="5F5FC5C8" w14:textId="29D2DE6C" w:rsidR="00B348B3" w:rsidRPr="00884CF0" w:rsidRDefault="002F7001" w:rsidP="00B348B3">
      <w:pPr>
        <w:pStyle w:val="basic-paragraph"/>
        <w:spacing w:line="360" w:lineRule="auto"/>
        <w:jc w:val="both"/>
        <w:rPr>
          <w:rStyle w:val="italik"/>
          <w:rFonts w:eastAsiaTheme="majorEastAsia"/>
          <w:lang w:val="sr-Cyrl-RS"/>
        </w:rPr>
      </w:pPr>
      <w:r w:rsidRPr="00884CF0">
        <w:rPr>
          <w:rFonts w:ascii="Calibri" w:eastAsia="Calibri" w:hAnsi="Calibri" w:cs="Arial"/>
          <w:noProof/>
          <w:sz w:val="22"/>
          <w:szCs w:val="22"/>
        </w:rPr>
        <mc:AlternateContent>
          <mc:Choice Requires="wps">
            <w:drawing>
              <wp:inline distT="0" distB="0" distL="0" distR="0" wp14:anchorId="19AB99DF" wp14:editId="03A79D32">
                <wp:extent cx="5619750" cy="4295775"/>
                <wp:effectExtent l="19050" t="1905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295775"/>
                        </a:xfrm>
                        <a:prstGeom prst="rect">
                          <a:avLst/>
                        </a:prstGeom>
                        <a:solidFill>
                          <a:srgbClr val="FFFFFF"/>
                        </a:solidFill>
                        <a:ln w="38100" cmpd="dbl">
                          <a:solidFill>
                            <a:srgbClr val="4472C4">
                              <a:lumMod val="100000"/>
                              <a:lumOff val="0"/>
                            </a:srgbClr>
                          </a:solidFill>
                          <a:miter lim="800000"/>
                          <a:headEnd/>
                          <a:tailEnd/>
                        </a:ln>
                      </wps:spPr>
                      <wps:txbx>
                        <w:txbxContent>
                          <w:tbl>
                            <w:tblPr>
                              <w:tblStyle w:val="TableGrid1"/>
                              <w:tblW w:w="8505" w:type="dxa"/>
                              <w:tblInd w:w="-3" w:type="dxa"/>
                              <w:tblCellMar>
                                <w:top w:w="113" w:type="dxa"/>
                                <w:bottom w:w="113" w:type="dxa"/>
                              </w:tblCellMar>
                              <w:tblLook w:val="04A0" w:firstRow="1" w:lastRow="0" w:firstColumn="1" w:lastColumn="0" w:noHBand="0" w:noVBand="1"/>
                            </w:tblPr>
                            <w:tblGrid>
                              <w:gridCol w:w="2835"/>
                              <w:gridCol w:w="5670"/>
                            </w:tblGrid>
                            <w:tr w:rsidR="002F7001" w:rsidRPr="00884CF0" w14:paraId="03475CF9" w14:textId="77777777" w:rsidTr="00884CF0">
                              <w:tc>
                                <w:tcPr>
                                  <w:tcW w:w="8505" w:type="dxa"/>
                                  <w:gridSpan w:val="2"/>
                                  <w:tcBorders>
                                    <w:top w:val="single" w:sz="2" w:space="0" w:color="4472C4"/>
                                    <w:left w:val="single" w:sz="2" w:space="0" w:color="4472C4"/>
                                    <w:bottom w:val="single" w:sz="12" w:space="0" w:color="4472C4"/>
                                    <w:right w:val="single" w:sz="12" w:space="0" w:color="4472C4"/>
                                  </w:tcBorders>
                                </w:tcPr>
                                <w:p w14:paraId="2563DDF9" w14:textId="740C0FED" w:rsidR="002F7001" w:rsidRPr="00884CF0" w:rsidRDefault="002F7001" w:rsidP="00884CF0">
                                  <w:pPr>
                                    <w:spacing w:before="120" w:after="120" w:line="240" w:lineRule="auto"/>
                                    <w:rPr>
                                      <w:rFonts w:ascii="Times New Roman" w:hAnsi="Times New Roman" w:cs="Times New Roman"/>
                                      <w:lang w:val="sr-Cyrl-RS"/>
                                    </w:rPr>
                                  </w:pPr>
                                  <w:bookmarkStart w:id="11" w:name="_Hlk119835397"/>
                                  <w:r w:rsidRPr="00884CF0">
                                    <w:rPr>
                                      <w:rFonts w:ascii="Times New Roman" w:hAnsi="Times New Roman" w:cs="Times New Roman"/>
                                      <w:lang w:val="sr-Cyrl-RS"/>
                                    </w:rPr>
                                    <w:t xml:space="preserve">Критеријум 1: </w:t>
                                  </w:r>
                                  <w:r w:rsidR="00C123CB" w:rsidRPr="00884CF0">
                                    <w:rPr>
                                      <w:rFonts w:ascii="Times New Roman" w:hAnsi="Times New Roman" w:cs="Times New Roman"/>
                                      <w:lang w:val="sr-Cyrl-RS"/>
                                    </w:rPr>
                                    <w:t>РЕЛЕВАНТНОСТ</w:t>
                                  </w:r>
                                </w:p>
                              </w:tc>
                            </w:tr>
                            <w:tr w:rsidR="002F7001" w:rsidRPr="00884CF0" w14:paraId="797496A9" w14:textId="77777777" w:rsidTr="00884CF0">
                              <w:trPr>
                                <w:trHeight w:val="23"/>
                              </w:trPr>
                              <w:tc>
                                <w:tcPr>
                                  <w:tcW w:w="2835" w:type="dxa"/>
                                  <w:tcBorders>
                                    <w:top w:val="single" w:sz="12" w:space="0" w:color="4472C4"/>
                                    <w:left w:val="nil"/>
                                    <w:bottom w:val="single" w:sz="4" w:space="0" w:color="4472C4"/>
                                    <w:right w:val="nil"/>
                                  </w:tcBorders>
                                  <w:tcMar>
                                    <w:top w:w="57" w:type="dxa"/>
                                    <w:bottom w:w="57" w:type="dxa"/>
                                  </w:tcMar>
                                </w:tcPr>
                                <w:p w14:paraId="63C662D2" w14:textId="77777777" w:rsidR="002F7001" w:rsidRPr="00884CF0" w:rsidRDefault="002F7001" w:rsidP="00884CF0">
                                  <w:pPr>
                                    <w:spacing w:line="240" w:lineRule="auto"/>
                                    <w:rPr>
                                      <w:rFonts w:ascii="Times New Roman" w:hAnsi="Times New Roman" w:cs="Times New Roman"/>
                                      <w:sz w:val="8"/>
                                      <w:szCs w:val="8"/>
                                    </w:rPr>
                                  </w:pPr>
                                </w:p>
                              </w:tc>
                              <w:tc>
                                <w:tcPr>
                                  <w:tcW w:w="5670" w:type="dxa"/>
                                  <w:tcBorders>
                                    <w:top w:val="single" w:sz="12" w:space="0" w:color="4472C4"/>
                                    <w:left w:val="nil"/>
                                    <w:bottom w:val="single" w:sz="4" w:space="0" w:color="4472C4"/>
                                    <w:right w:val="nil"/>
                                  </w:tcBorders>
                                  <w:tcMar>
                                    <w:top w:w="57" w:type="dxa"/>
                                    <w:bottom w:w="57" w:type="dxa"/>
                                  </w:tcMar>
                                </w:tcPr>
                                <w:p w14:paraId="4CC9EC21" w14:textId="77777777" w:rsidR="002F7001" w:rsidRPr="00884CF0" w:rsidRDefault="002F7001" w:rsidP="00884CF0">
                                  <w:pPr>
                                    <w:spacing w:line="240" w:lineRule="auto"/>
                                    <w:rPr>
                                      <w:rFonts w:ascii="Times New Roman" w:hAnsi="Times New Roman" w:cs="Times New Roman"/>
                                      <w:sz w:val="8"/>
                                      <w:szCs w:val="8"/>
                                    </w:rPr>
                                  </w:pPr>
                                </w:p>
                              </w:tc>
                            </w:tr>
                            <w:tr w:rsidR="002F7001" w:rsidRPr="004D7EA5" w14:paraId="30538AE4" w14:textId="77777777" w:rsidTr="00884CF0">
                              <w:trPr>
                                <w:trHeight w:val="20"/>
                              </w:trPr>
                              <w:tc>
                                <w:tcPr>
                                  <w:tcW w:w="2835" w:type="dxa"/>
                                  <w:vMerge w:val="restart"/>
                                  <w:tcBorders>
                                    <w:top w:val="single" w:sz="4" w:space="0" w:color="4472C4"/>
                                    <w:left w:val="single" w:sz="4" w:space="0" w:color="4472C4"/>
                                    <w:bottom w:val="single" w:sz="2" w:space="0" w:color="000000"/>
                                    <w:right w:val="single" w:sz="2" w:space="0" w:color="000000"/>
                                  </w:tcBorders>
                                </w:tcPr>
                                <w:p w14:paraId="125E0B5C" w14:textId="48EF1597" w:rsidR="002F7001" w:rsidRPr="00884CF0" w:rsidRDefault="002F7001" w:rsidP="009B2CE9">
                                  <w:pPr>
                                    <w:spacing w:line="360" w:lineRule="auto"/>
                                    <w:rPr>
                                      <w:rFonts w:ascii="Times New Roman" w:hAnsi="Times New Roman" w:cs="Times New Roman"/>
                                      <w:lang w:val="sr-Cyrl-RS"/>
                                    </w:rPr>
                                  </w:pPr>
                                  <w:r w:rsidRPr="00884CF0">
                                    <w:rPr>
                                      <w:rFonts w:ascii="Times New Roman" w:hAnsi="Times New Roman" w:cs="Times New Roman"/>
                                      <w:lang w:val="sr-Cyrl-RS"/>
                                    </w:rPr>
                                    <w:t xml:space="preserve">Релевантност НОКС-а у тренутку </w:t>
                                  </w:r>
                                  <w:r w:rsidR="002761A0" w:rsidRPr="00884CF0">
                                    <w:rPr>
                                      <w:rFonts w:ascii="Times New Roman" w:hAnsi="Times New Roman" w:cs="Times New Roman"/>
                                      <w:lang w:val="sr-Cyrl-RS"/>
                                    </w:rPr>
                                    <w:t>креирања</w:t>
                                  </w:r>
                                </w:p>
                                <w:p w14:paraId="74BE0F19" w14:textId="77777777" w:rsidR="002F7001" w:rsidRPr="00884CF0" w:rsidRDefault="002F7001" w:rsidP="009B2CE9">
                                  <w:pPr>
                                    <w:spacing w:line="360" w:lineRule="auto"/>
                                    <w:rPr>
                                      <w:rFonts w:ascii="Times New Roman" w:hAnsi="Times New Roman" w:cs="Times New Roman"/>
                                      <w:lang w:val="sr-Cyrl-RS"/>
                                    </w:rPr>
                                  </w:pPr>
                                </w:p>
                                <w:p w14:paraId="16D6F7A6" w14:textId="77777777" w:rsidR="002F7001" w:rsidRPr="00884CF0" w:rsidRDefault="002F7001" w:rsidP="009B2CE9">
                                  <w:pPr>
                                    <w:spacing w:line="360" w:lineRule="auto"/>
                                    <w:rPr>
                                      <w:rFonts w:ascii="Times New Roman" w:hAnsi="Times New Roman" w:cs="Times New Roman"/>
                                      <w:lang w:val="sr-Cyrl-RS"/>
                                    </w:rPr>
                                  </w:pPr>
                                </w:p>
                                <w:p w14:paraId="341A93B4" w14:textId="3E44FD6E" w:rsidR="002761A0" w:rsidRDefault="002761A0" w:rsidP="009B2CE9">
                                  <w:pPr>
                                    <w:spacing w:line="360" w:lineRule="auto"/>
                                    <w:rPr>
                                      <w:rFonts w:ascii="Times New Roman" w:hAnsi="Times New Roman" w:cs="Times New Roman"/>
                                      <w:lang w:val="sr-Cyrl-RS"/>
                                    </w:rPr>
                                  </w:pPr>
                                </w:p>
                                <w:p w14:paraId="77BB4AEF" w14:textId="6736BB31" w:rsidR="009B2CE9" w:rsidRDefault="009B2CE9" w:rsidP="009B2CE9">
                                  <w:pPr>
                                    <w:spacing w:line="360" w:lineRule="auto"/>
                                    <w:rPr>
                                      <w:rFonts w:ascii="Times New Roman" w:hAnsi="Times New Roman" w:cs="Times New Roman"/>
                                      <w:lang w:val="sr-Cyrl-RS"/>
                                    </w:rPr>
                                  </w:pPr>
                                </w:p>
                                <w:p w14:paraId="39B8371E" w14:textId="6B275E73" w:rsidR="009B2CE9" w:rsidRDefault="009B2CE9" w:rsidP="009B2CE9">
                                  <w:pPr>
                                    <w:spacing w:line="360" w:lineRule="auto"/>
                                    <w:rPr>
                                      <w:rFonts w:ascii="Times New Roman" w:hAnsi="Times New Roman" w:cs="Times New Roman"/>
                                      <w:lang w:val="sr-Cyrl-RS"/>
                                    </w:rPr>
                                  </w:pPr>
                                </w:p>
                                <w:p w14:paraId="605F58D6" w14:textId="77777777" w:rsidR="009B2CE9" w:rsidRPr="00884CF0" w:rsidRDefault="009B2CE9" w:rsidP="009B2CE9">
                                  <w:pPr>
                                    <w:spacing w:line="360" w:lineRule="auto"/>
                                    <w:rPr>
                                      <w:rFonts w:ascii="Times New Roman" w:hAnsi="Times New Roman" w:cs="Times New Roman"/>
                                      <w:lang w:val="sr-Cyrl-RS"/>
                                    </w:rPr>
                                  </w:pPr>
                                </w:p>
                                <w:p w14:paraId="11DA0DEF" w14:textId="77777777" w:rsidR="002761A0" w:rsidRPr="00884CF0" w:rsidRDefault="002761A0" w:rsidP="009B2CE9">
                                  <w:pPr>
                                    <w:spacing w:line="360" w:lineRule="auto"/>
                                    <w:rPr>
                                      <w:rFonts w:ascii="Times New Roman" w:hAnsi="Times New Roman" w:cs="Times New Roman"/>
                                      <w:lang w:val="sr-Cyrl-RS"/>
                                    </w:rPr>
                                  </w:pPr>
                                </w:p>
                                <w:p w14:paraId="4A878201" w14:textId="77777777" w:rsidR="000D3C7D" w:rsidRDefault="000D3C7D" w:rsidP="009B2CE9">
                                  <w:pPr>
                                    <w:spacing w:line="360" w:lineRule="auto"/>
                                    <w:rPr>
                                      <w:rFonts w:ascii="Times New Roman" w:hAnsi="Times New Roman" w:cs="Times New Roman"/>
                                      <w:lang w:val="sr-Cyrl-RS"/>
                                    </w:rPr>
                                  </w:pPr>
                                </w:p>
                                <w:p w14:paraId="08C4C816" w14:textId="4B099AE1" w:rsidR="002F7001" w:rsidRPr="00884CF0" w:rsidRDefault="002F7001" w:rsidP="009B2CE9">
                                  <w:pPr>
                                    <w:spacing w:line="360" w:lineRule="auto"/>
                                    <w:rPr>
                                      <w:rFonts w:ascii="Times New Roman" w:hAnsi="Times New Roman" w:cs="Times New Roman"/>
                                      <w:lang w:val="sr-Cyrl-RS"/>
                                    </w:rPr>
                                  </w:pPr>
                                  <w:r w:rsidRPr="00884CF0">
                                    <w:rPr>
                                      <w:rFonts w:ascii="Times New Roman" w:hAnsi="Times New Roman" w:cs="Times New Roman"/>
                                      <w:lang w:val="sr-Cyrl-RS"/>
                                    </w:rPr>
                                    <w:t xml:space="preserve">Континуирана релевантност НОКС-а </w:t>
                                  </w:r>
                                </w:p>
                              </w:tc>
                              <w:tc>
                                <w:tcPr>
                                  <w:tcW w:w="5670" w:type="dxa"/>
                                  <w:tcBorders>
                                    <w:top w:val="single" w:sz="4" w:space="0" w:color="4472C4"/>
                                    <w:left w:val="single" w:sz="2" w:space="0" w:color="000000"/>
                                    <w:bottom w:val="single" w:sz="2" w:space="0" w:color="000000"/>
                                    <w:right w:val="single" w:sz="12" w:space="0" w:color="4472C4"/>
                                  </w:tcBorders>
                                </w:tcPr>
                                <w:p w14:paraId="003C9CAF" w14:textId="3D635127" w:rsidR="002F7001" w:rsidRPr="00884CF0" w:rsidRDefault="002F7001"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У којој мери НОКС одговара на кључни задатак креирања политике?</w:t>
                                  </w:r>
                                </w:p>
                              </w:tc>
                            </w:tr>
                            <w:tr w:rsidR="002F7001" w:rsidRPr="004D7EA5" w14:paraId="4A6DF3E9"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6758E794"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58B8F3CD" w14:textId="6336D400" w:rsidR="002F7001" w:rsidRPr="00884CF0" w:rsidRDefault="002761A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Колико је НОКС био релевантан, тј. усклађен са потребама корисника у периоду када је осмишљен и дизајниран?</w:t>
                                  </w:r>
                                </w:p>
                              </w:tc>
                            </w:tr>
                            <w:tr w:rsidR="002F7001" w:rsidRPr="004D7EA5" w14:paraId="0BDC3226"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773315D2"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7DD913DE" w14:textId="496FE542" w:rsidR="002F7001" w:rsidRPr="00884CF0" w:rsidRDefault="00884CF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Pr>
                                      <w:rStyle w:val="italik"/>
                                      <w:rFonts w:ascii="Times New Roman" w:eastAsiaTheme="majorEastAsia" w:hAnsi="Times New Roman"/>
                                      <w:lang w:val="sr-Cyrl-RS"/>
                                    </w:rPr>
                                    <w:t xml:space="preserve"> </w:t>
                                  </w:r>
                                  <w:r w:rsidR="004906C6" w:rsidRPr="00884CF0">
                                    <w:rPr>
                                      <w:rStyle w:val="italik"/>
                                      <w:rFonts w:ascii="Times New Roman" w:eastAsiaTheme="majorEastAsia" w:hAnsi="Times New Roman"/>
                                      <w:lang w:val="sr-Cyrl-RS"/>
                                    </w:rPr>
                                    <w:t>Кол</w:t>
                                  </w:r>
                                  <w:r w:rsidR="002761A0" w:rsidRPr="00884CF0">
                                    <w:rPr>
                                      <w:rStyle w:val="italik"/>
                                      <w:rFonts w:ascii="Times New Roman" w:eastAsiaTheme="majorEastAsia" w:hAnsi="Times New Roman"/>
                                      <w:lang w:val="sr-Cyrl-RS"/>
                                    </w:rPr>
                                    <w:t>ико је НОКС био подесан у периоду када је</w:t>
                                  </w:r>
                                  <w:r w:rsidR="004906C6" w:rsidRPr="00884CF0">
                                    <w:rPr>
                                      <w:rStyle w:val="italik"/>
                                      <w:rFonts w:ascii="Times New Roman" w:eastAsiaTheme="majorEastAsia" w:hAnsi="Times New Roman"/>
                                      <w:lang w:val="sr-Cyrl-RS"/>
                                    </w:rPr>
                                    <w:t xml:space="preserve"> </w:t>
                                  </w:r>
                                  <w:r w:rsidR="002761A0" w:rsidRPr="00884CF0">
                                    <w:rPr>
                                      <w:rStyle w:val="italik"/>
                                      <w:rFonts w:ascii="Times New Roman" w:eastAsiaTheme="majorEastAsia" w:hAnsi="Times New Roman"/>
                                      <w:lang w:val="sr-Cyrl-RS"/>
                                    </w:rPr>
                                    <w:t>осмишљен и дизајниран (усклађен са контекстом у ком се спроводио и ставовима о његовој прихватљивости)?</w:t>
                                  </w:r>
                                </w:p>
                              </w:tc>
                            </w:tr>
                            <w:tr w:rsidR="002F7001" w:rsidRPr="004D7EA5" w14:paraId="73BB21C7"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197C9115"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5AD68BB9" w14:textId="5F86F8A8" w:rsidR="002F7001" w:rsidRPr="00884CF0" w:rsidRDefault="002761A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Колико је НОКС релевантан с обзиром на садашње потребе корисника?</w:t>
                                  </w:r>
                                </w:p>
                              </w:tc>
                            </w:tr>
                            <w:tr w:rsidR="002F7001" w:rsidRPr="004D7EA5" w14:paraId="636BC07D"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6D0BCCDF"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78BF7155" w14:textId="44F23785" w:rsidR="002F7001" w:rsidRPr="00884CF0" w:rsidRDefault="002761A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Колико је НОКС  у складу са тренутним контекстом и ставовима о његовој прихватљивости?</w:t>
                                  </w:r>
                                </w:p>
                              </w:tc>
                            </w:tr>
                            <w:bookmarkEnd w:id="11"/>
                          </w:tbl>
                          <w:p w14:paraId="6DA8EF1E" w14:textId="77777777" w:rsidR="002F7001" w:rsidRPr="00884CF0" w:rsidRDefault="002F7001" w:rsidP="002F7001">
                            <w:pPr>
                              <w:rPr>
                                <w:rFonts w:cs="Times New Roman"/>
                                <w:sz w:val="8"/>
                                <w:szCs w:val="8"/>
                                <w:lang w:val="sr-Cyrl-RS"/>
                              </w:rPr>
                            </w:pPr>
                          </w:p>
                        </w:txbxContent>
                      </wps:txbx>
                      <wps:bodyPr rot="0" vert="horz" wrap="square" lIns="91440" tIns="90000" rIns="180000" bIns="36000" anchor="t" anchorCtr="0" upright="1">
                        <a:noAutofit/>
                      </wps:bodyPr>
                    </wps:wsp>
                  </a:graphicData>
                </a:graphic>
              </wp:inline>
            </w:drawing>
          </mc:Choice>
          <mc:Fallback>
            <w:pict>
              <v:shapetype w14:anchorId="19AB99DF" id="_x0000_t202" coordsize="21600,21600" o:spt="202" path="m,l,21600r21600,l21600,xe">
                <v:stroke joinstyle="miter"/>
                <v:path gradientshapeok="t" o:connecttype="rect"/>
              </v:shapetype>
              <v:shape id="Text Box 2" o:spid="_x0000_s1026" type="#_x0000_t202" style="width:442.5pt;height:3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" strokecolor="#4472c4" strokeweight="3pt">
                <v:stroke linestyle="thinThin"/>
                <v:textbox inset=",2.5mm,5mm,1mm">
                  <w:txbxContent>
                    <w:tbl>
                      <w:tblPr>
                        <w:tblStyle w:val="TableGrid1"/>
                        <w:tblW w:w="8505" w:type="dxa"/>
                        <w:tblInd w:w="-3" w:type="dxa"/>
                        <w:tblCellMar>
                          <w:top w:w="113" w:type="dxa"/>
                          <w:bottom w:w="113" w:type="dxa"/>
                        </w:tblCellMar>
                        <w:tblLook w:val="04A0" w:firstRow="1" w:lastRow="0" w:firstColumn="1" w:lastColumn="0" w:noHBand="0" w:noVBand="1"/>
                      </w:tblPr>
                      <w:tblGrid>
                        <w:gridCol w:w="2835"/>
                        <w:gridCol w:w="5670"/>
                      </w:tblGrid>
                      <w:tr w:rsidR="002F7001" w:rsidRPr="00884CF0" w14:paraId="03475CF9" w14:textId="77777777" w:rsidTr="00884CF0">
                        <w:tc>
                          <w:tcPr>
                            <w:tcW w:w="8505" w:type="dxa"/>
                            <w:gridSpan w:val="2"/>
                            <w:tcBorders>
                              <w:top w:val="single" w:sz="2" w:space="0" w:color="4472C4"/>
                              <w:left w:val="single" w:sz="2" w:space="0" w:color="4472C4"/>
                              <w:bottom w:val="single" w:sz="12" w:space="0" w:color="4472C4"/>
                              <w:right w:val="single" w:sz="12" w:space="0" w:color="4472C4"/>
                            </w:tcBorders>
                          </w:tcPr>
                          <w:p w14:paraId="2563DDF9" w14:textId="740C0FED" w:rsidR="002F7001" w:rsidRPr="00884CF0" w:rsidRDefault="002F7001" w:rsidP="00884CF0">
                            <w:pPr>
                              <w:spacing w:before="120" w:after="120" w:line="240" w:lineRule="auto"/>
                              <w:rPr>
                                <w:rFonts w:ascii="Times New Roman" w:hAnsi="Times New Roman" w:cs="Times New Roman"/>
                                <w:lang w:val="sr-Cyrl-RS"/>
                              </w:rPr>
                            </w:pPr>
                            <w:bookmarkStart w:id="12" w:name="_Hlk119835397"/>
                            <w:r w:rsidRPr="00884CF0">
                              <w:rPr>
                                <w:rFonts w:ascii="Times New Roman" w:hAnsi="Times New Roman" w:cs="Times New Roman"/>
                                <w:lang w:val="sr-Cyrl-RS"/>
                              </w:rPr>
                              <w:t xml:space="preserve">Критеријум 1: </w:t>
                            </w:r>
                            <w:r w:rsidR="00C123CB" w:rsidRPr="00884CF0">
                              <w:rPr>
                                <w:rFonts w:ascii="Times New Roman" w:hAnsi="Times New Roman" w:cs="Times New Roman"/>
                                <w:lang w:val="sr-Cyrl-RS"/>
                              </w:rPr>
                              <w:t>РЕЛЕВАНТНОСТ</w:t>
                            </w:r>
                          </w:p>
                        </w:tc>
                      </w:tr>
                      <w:tr w:rsidR="002F7001" w:rsidRPr="00884CF0" w14:paraId="797496A9" w14:textId="77777777" w:rsidTr="00884CF0">
                        <w:trPr>
                          <w:trHeight w:val="23"/>
                        </w:trPr>
                        <w:tc>
                          <w:tcPr>
                            <w:tcW w:w="2835" w:type="dxa"/>
                            <w:tcBorders>
                              <w:top w:val="single" w:sz="12" w:space="0" w:color="4472C4"/>
                              <w:left w:val="nil"/>
                              <w:bottom w:val="single" w:sz="4" w:space="0" w:color="4472C4"/>
                              <w:right w:val="nil"/>
                            </w:tcBorders>
                            <w:tcMar>
                              <w:top w:w="57" w:type="dxa"/>
                              <w:bottom w:w="57" w:type="dxa"/>
                            </w:tcMar>
                          </w:tcPr>
                          <w:p w14:paraId="63C662D2" w14:textId="77777777" w:rsidR="002F7001" w:rsidRPr="00884CF0" w:rsidRDefault="002F7001" w:rsidP="00884CF0">
                            <w:pPr>
                              <w:spacing w:line="240" w:lineRule="auto"/>
                              <w:rPr>
                                <w:rFonts w:ascii="Times New Roman" w:hAnsi="Times New Roman" w:cs="Times New Roman"/>
                                <w:sz w:val="8"/>
                                <w:szCs w:val="8"/>
                              </w:rPr>
                            </w:pPr>
                          </w:p>
                        </w:tc>
                        <w:tc>
                          <w:tcPr>
                            <w:tcW w:w="5670" w:type="dxa"/>
                            <w:tcBorders>
                              <w:top w:val="single" w:sz="12" w:space="0" w:color="4472C4"/>
                              <w:left w:val="nil"/>
                              <w:bottom w:val="single" w:sz="4" w:space="0" w:color="4472C4"/>
                              <w:right w:val="nil"/>
                            </w:tcBorders>
                            <w:tcMar>
                              <w:top w:w="57" w:type="dxa"/>
                              <w:bottom w:w="57" w:type="dxa"/>
                            </w:tcMar>
                          </w:tcPr>
                          <w:p w14:paraId="4CC9EC21" w14:textId="77777777" w:rsidR="002F7001" w:rsidRPr="00884CF0" w:rsidRDefault="002F7001" w:rsidP="00884CF0">
                            <w:pPr>
                              <w:spacing w:line="240" w:lineRule="auto"/>
                              <w:rPr>
                                <w:rFonts w:ascii="Times New Roman" w:hAnsi="Times New Roman" w:cs="Times New Roman"/>
                                <w:sz w:val="8"/>
                                <w:szCs w:val="8"/>
                              </w:rPr>
                            </w:pPr>
                          </w:p>
                        </w:tc>
                      </w:tr>
                      <w:tr w:rsidR="002F7001" w:rsidRPr="004D7EA5" w14:paraId="30538AE4" w14:textId="77777777" w:rsidTr="00884CF0">
                        <w:trPr>
                          <w:trHeight w:val="20"/>
                        </w:trPr>
                        <w:tc>
                          <w:tcPr>
                            <w:tcW w:w="2835" w:type="dxa"/>
                            <w:vMerge w:val="restart"/>
                            <w:tcBorders>
                              <w:top w:val="single" w:sz="4" w:space="0" w:color="4472C4"/>
                              <w:left w:val="single" w:sz="4" w:space="0" w:color="4472C4"/>
                              <w:bottom w:val="single" w:sz="2" w:space="0" w:color="000000"/>
                              <w:right w:val="single" w:sz="2" w:space="0" w:color="000000"/>
                            </w:tcBorders>
                          </w:tcPr>
                          <w:p w14:paraId="125E0B5C" w14:textId="48EF1597" w:rsidR="002F7001" w:rsidRPr="00884CF0" w:rsidRDefault="002F7001" w:rsidP="009B2CE9">
                            <w:pPr>
                              <w:spacing w:line="360" w:lineRule="auto"/>
                              <w:rPr>
                                <w:rFonts w:ascii="Times New Roman" w:hAnsi="Times New Roman" w:cs="Times New Roman"/>
                                <w:lang w:val="sr-Cyrl-RS"/>
                              </w:rPr>
                            </w:pPr>
                            <w:r w:rsidRPr="00884CF0">
                              <w:rPr>
                                <w:rFonts w:ascii="Times New Roman" w:hAnsi="Times New Roman" w:cs="Times New Roman"/>
                                <w:lang w:val="sr-Cyrl-RS"/>
                              </w:rPr>
                              <w:t xml:space="preserve">Релевантност НОКС-а у тренутку </w:t>
                            </w:r>
                            <w:r w:rsidR="002761A0" w:rsidRPr="00884CF0">
                              <w:rPr>
                                <w:rFonts w:ascii="Times New Roman" w:hAnsi="Times New Roman" w:cs="Times New Roman"/>
                                <w:lang w:val="sr-Cyrl-RS"/>
                              </w:rPr>
                              <w:t>креирања</w:t>
                            </w:r>
                          </w:p>
                          <w:p w14:paraId="74BE0F19" w14:textId="77777777" w:rsidR="002F7001" w:rsidRPr="00884CF0" w:rsidRDefault="002F7001" w:rsidP="009B2CE9">
                            <w:pPr>
                              <w:spacing w:line="360" w:lineRule="auto"/>
                              <w:rPr>
                                <w:rFonts w:ascii="Times New Roman" w:hAnsi="Times New Roman" w:cs="Times New Roman"/>
                                <w:lang w:val="sr-Cyrl-RS"/>
                              </w:rPr>
                            </w:pPr>
                          </w:p>
                          <w:p w14:paraId="16D6F7A6" w14:textId="77777777" w:rsidR="002F7001" w:rsidRPr="00884CF0" w:rsidRDefault="002F7001" w:rsidP="009B2CE9">
                            <w:pPr>
                              <w:spacing w:line="360" w:lineRule="auto"/>
                              <w:rPr>
                                <w:rFonts w:ascii="Times New Roman" w:hAnsi="Times New Roman" w:cs="Times New Roman"/>
                                <w:lang w:val="sr-Cyrl-RS"/>
                              </w:rPr>
                            </w:pPr>
                          </w:p>
                          <w:p w14:paraId="341A93B4" w14:textId="3E44FD6E" w:rsidR="002761A0" w:rsidRDefault="002761A0" w:rsidP="009B2CE9">
                            <w:pPr>
                              <w:spacing w:line="360" w:lineRule="auto"/>
                              <w:rPr>
                                <w:rFonts w:ascii="Times New Roman" w:hAnsi="Times New Roman" w:cs="Times New Roman"/>
                                <w:lang w:val="sr-Cyrl-RS"/>
                              </w:rPr>
                            </w:pPr>
                          </w:p>
                          <w:p w14:paraId="77BB4AEF" w14:textId="6736BB31" w:rsidR="009B2CE9" w:rsidRDefault="009B2CE9" w:rsidP="009B2CE9">
                            <w:pPr>
                              <w:spacing w:line="360" w:lineRule="auto"/>
                              <w:rPr>
                                <w:rFonts w:ascii="Times New Roman" w:hAnsi="Times New Roman" w:cs="Times New Roman"/>
                                <w:lang w:val="sr-Cyrl-RS"/>
                              </w:rPr>
                            </w:pPr>
                          </w:p>
                          <w:p w14:paraId="39B8371E" w14:textId="6B275E73" w:rsidR="009B2CE9" w:rsidRDefault="009B2CE9" w:rsidP="009B2CE9">
                            <w:pPr>
                              <w:spacing w:line="360" w:lineRule="auto"/>
                              <w:rPr>
                                <w:rFonts w:ascii="Times New Roman" w:hAnsi="Times New Roman" w:cs="Times New Roman"/>
                                <w:lang w:val="sr-Cyrl-RS"/>
                              </w:rPr>
                            </w:pPr>
                          </w:p>
                          <w:p w14:paraId="605F58D6" w14:textId="77777777" w:rsidR="009B2CE9" w:rsidRPr="00884CF0" w:rsidRDefault="009B2CE9" w:rsidP="009B2CE9">
                            <w:pPr>
                              <w:spacing w:line="360" w:lineRule="auto"/>
                              <w:rPr>
                                <w:rFonts w:ascii="Times New Roman" w:hAnsi="Times New Roman" w:cs="Times New Roman"/>
                                <w:lang w:val="sr-Cyrl-RS"/>
                              </w:rPr>
                            </w:pPr>
                          </w:p>
                          <w:p w14:paraId="11DA0DEF" w14:textId="77777777" w:rsidR="002761A0" w:rsidRPr="00884CF0" w:rsidRDefault="002761A0" w:rsidP="009B2CE9">
                            <w:pPr>
                              <w:spacing w:line="360" w:lineRule="auto"/>
                              <w:rPr>
                                <w:rFonts w:ascii="Times New Roman" w:hAnsi="Times New Roman" w:cs="Times New Roman"/>
                                <w:lang w:val="sr-Cyrl-RS"/>
                              </w:rPr>
                            </w:pPr>
                          </w:p>
                          <w:p w14:paraId="4A878201" w14:textId="77777777" w:rsidR="000D3C7D" w:rsidRDefault="000D3C7D" w:rsidP="009B2CE9">
                            <w:pPr>
                              <w:spacing w:line="360" w:lineRule="auto"/>
                              <w:rPr>
                                <w:rFonts w:ascii="Times New Roman" w:hAnsi="Times New Roman" w:cs="Times New Roman"/>
                                <w:lang w:val="sr-Cyrl-RS"/>
                              </w:rPr>
                            </w:pPr>
                          </w:p>
                          <w:p w14:paraId="08C4C816" w14:textId="4B099AE1" w:rsidR="002F7001" w:rsidRPr="00884CF0" w:rsidRDefault="002F7001" w:rsidP="009B2CE9">
                            <w:pPr>
                              <w:spacing w:line="360" w:lineRule="auto"/>
                              <w:rPr>
                                <w:rFonts w:ascii="Times New Roman" w:hAnsi="Times New Roman" w:cs="Times New Roman"/>
                                <w:lang w:val="sr-Cyrl-RS"/>
                              </w:rPr>
                            </w:pPr>
                            <w:r w:rsidRPr="00884CF0">
                              <w:rPr>
                                <w:rFonts w:ascii="Times New Roman" w:hAnsi="Times New Roman" w:cs="Times New Roman"/>
                                <w:lang w:val="sr-Cyrl-RS"/>
                              </w:rPr>
                              <w:t xml:space="preserve">Континуирана релевантност НОКС-а </w:t>
                            </w:r>
                          </w:p>
                        </w:tc>
                        <w:tc>
                          <w:tcPr>
                            <w:tcW w:w="5670" w:type="dxa"/>
                            <w:tcBorders>
                              <w:top w:val="single" w:sz="4" w:space="0" w:color="4472C4"/>
                              <w:left w:val="single" w:sz="2" w:space="0" w:color="000000"/>
                              <w:bottom w:val="single" w:sz="2" w:space="0" w:color="000000"/>
                              <w:right w:val="single" w:sz="12" w:space="0" w:color="4472C4"/>
                            </w:tcBorders>
                          </w:tcPr>
                          <w:p w14:paraId="003C9CAF" w14:textId="3D635127" w:rsidR="002F7001" w:rsidRPr="00884CF0" w:rsidRDefault="002F7001"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У којој мери НОКС одговара на кључни задатак креирања политике?</w:t>
                            </w:r>
                          </w:p>
                        </w:tc>
                      </w:tr>
                      <w:tr w:rsidR="002F7001" w:rsidRPr="004D7EA5" w14:paraId="4A6DF3E9"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6758E794"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58B8F3CD" w14:textId="6336D400" w:rsidR="002F7001" w:rsidRPr="00884CF0" w:rsidRDefault="002761A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Колико је НОКС био релевантан, тј. усклађен са потребама корисника у периоду када је осмишљен и дизајниран?</w:t>
                            </w:r>
                          </w:p>
                        </w:tc>
                      </w:tr>
                      <w:tr w:rsidR="002F7001" w:rsidRPr="004D7EA5" w14:paraId="0BDC3226"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773315D2"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7DD913DE" w14:textId="496FE542" w:rsidR="002F7001" w:rsidRPr="00884CF0" w:rsidRDefault="00884CF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Pr>
                                <w:rStyle w:val="italik"/>
                                <w:rFonts w:ascii="Times New Roman" w:eastAsiaTheme="majorEastAsia" w:hAnsi="Times New Roman"/>
                                <w:lang w:val="sr-Cyrl-RS"/>
                              </w:rPr>
                              <w:t xml:space="preserve"> </w:t>
                            </w:r>
                            <w:r w:rsidR="004906C6" w:rsidRPr="00884CF0">
                              <w:rPr>
                                <w:rStyle w:val="italik"/>
                                <w:rFonts w:ascii="Times New Roman" w:eastAsiaTheme="majorEastAsia" w:hAnsi="Times New Roman"/>
                                <w:lang w:val="sr-Cyrl-RS"/>
                              </w:rPr>
                              <w:t>Кол</w:t>
                            </w:r>
                            <w:r w:rsidR="002761A0" w:rsidRPr="00884CF0">
                              <w:rPr>
                                <w:rStyle w:val="italik"/>
                                <w:rFonts w:ascii="Times New Roman" w:eastAsiaTheme="majorEastAsia" w:hAnsi="Times New Roman"/>
                                <w:lang w:val="sr-Cyrl-RS"/>
                              </w:rPr>
                              <w:t>ико је НОКС био подесан у периоду када је</w:t>
                            </w:r>
                            <w:r w:rsidR="004906C6" w:rsidRPr="00884CF0">
                              <w:rPr>
                                <w:rStyle w:val="italik"/>
                                <w:rFonts w:ascii="Times New Roman" w:eastAsiaTheme="majorEastAsia" w:hAnsi="Times New Roman"/>
                                <w:lang w:val="sr-Cyrl-RS"/>
                              </w:rPr>
                              <w:t xml:space="preserve"> </w:t>
                            </w:r>
                            <w:r w:rsidR="002761A0" w:rsidRPr="00884CF0">
                              <w:rPr>
                                <w:rStyle w:val="italik"/>
                                <w:rFonts w:ascii="Times New Roman" w:eastAsiaTheme="majorEastAsia" w:hAnsi="Times New Roman"/>
                                <w:lang w:val="sr-Cyrl-RS"/>
                              </w:rPr>
                              <w:t>осмишљен и дизајниран (усклађен са контекстом у ком се спроводио и ставовима о његовој прихватљивости)?</w:t>
                            </w:r>
                          </w:p>
                        </w:tc>
                      </w:tr>
                      <w:tr w:rsidR="002F7001" w:rsidRPr="004D7EA5" w14:paraId="73BB21C7"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197C9115"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5AD68BB9" w14:textId="5F86F8A8" w:rsidR="002F7001" w:rsidRPr="00884CF0" w:rsidRDefault="002761A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Колико је НОКС релевантан с обзиром на садашње потребе корисника?</w:t>
                            </w:r>
                          </w:p>
                        </w:tc>
                      </w:tr>
                      <w:tr w:rsidR="002F7001" w:rsidRPr="004D7EA5" w14:paraId="636BC07D" w14:textId="77777777" w:rsidTr="00884CF0">
                        <w:trPr>
                          <w:trHeight w:val="70"/>
                        </w:trPr>
                        <w:tc>
                          <w:tcPr>
                            <w:tcW w:w="2835" w:type="dxa"/>
                            <w:vMerge/>
                            <w:tcBorders>
                              <w:top w:val="single" w:sz="2" w:space="0" w:color="000000"/>
                              <w:left w:val="single" w:sz="4" w:space="0" w:color="4472C4"/>
                              <w:bottom w:val="single" w:sz="2" w:space="0" w:color="000000"/>
                              <w:right w:val="single" w:sz="2" w:space="0" w:color="000000"/>
                            </w:tcBorders>
                          </w:tcPr>
                          <w:p w14:paraId="6D0BCCDF" w14:textId="77777777" w:rsidR="002F7001" w:rsidRPr="00884CF0" w:rsidRDefault="002F7001">
                            <w:pPr>
                              <w:rPr>
                                <w:rFonts w:ascii="Times New Roman" w:hAnsi="Times New Roman" w:cs="Times New Roman"/>
                                <w:lang w:val="sr-Cyrl-RS"/>
                              </w:rPr>
                            </w:pPr>
                          </w:p>
                        </w:tc>
                        <w:tc>
                          <w:tcPr>
                            <w:tcW w:w="5670" w:type="dxa"/>
                            <w:tcBorders>
                              <w:top w:val="single" w:sz="2" w:space="0" w:color="000000"/>
                              <w:left w:val="single" w:sz="2" w:space="0" w:color="000000"/>
                              <w:bottom w:val="single" w:sz="2" w:space="0" w:color="000000"/>
                              <w:right w:val="single" w:sz="12" w:space="0" w:color="4472C4"/>
                            </w:tcBorders>
                          </w:tcPr>
                          <w:p w14:paraId="78BF7155" w14:textId="44F23785" w:rsidR="002F7001" w:rsidRPr="00884CF0" w:rsidRDefault="002761A0" w:rsidP="00884CF0">
                            <w:pPr>
                              <w:pStyle w:val="basic-paragraph"/>
                              <w:numPr>
                                <w:ilvl w:val="1"/>
                                <w:numId w:val="8"/>
                              </w:numPr>
                              <w:spacing w:before="0" w:beforeAutospacing="0" w:after="0" w:afterAutospacing="0" w:line="312" w:lineRule="auto"/>
                              <w:jc w:val="both"/>
                              <w:rPr>
                                <w:rFonts w:ascii="Times New Roman" w:eastAsiaTheme="majorEastAsia" w:hAnsi="Times New Roman"/>
                                <w:lang w:val="sr-Cyrl-RS"/>
                              </w:rPr>
                            </w:pPr>
                            <w:r w:rsidRPr="00884CF0">
                              <w:rPr>
                                <w:rStyle w:val="italik"/>
                                <w:rFonts w:ascii="Times New Roman" w:eastAsiaTheme="majorEastAsia" w:hAnsi="Times New Roman"/>
                                <w:lang w:val="sr-Cyrl-RS"/>
                              </w:rPr>
                              <w:t>Колико је НОКС  у складу са тренутним контекстом и ставовима о његовој прихватљивости?</w:t>
                            </w:r>
                          </w:p>
                        </w:tc>
                      </w:tr>
                      <w:bookmarkEnd w:id="12"/>
                    </w:tbl>
                    <w:p w14:paraId="6DA8EF1E" w14:textId="77777777" w:rsidR="002F7001" w:rsidRPr="00884CF0" w:rsidRDefault="002F7001" w:rsidP="002F7001">
                      <w:pPr>
                        <w:rPr>
                          <w:rFonts w:cs="Times New Roman"/>
                          <w:sz w:val="8"/>
                          <w:szCs w:val="8"/>
                          <w:lang w:val="sr-Cyrl-RS"/>
                        </w:rPr>
                      </w:pPr>
                    </w:p>
                  </w:txbxContent>
                </v:textbox>
                <w10:anchorlock/>
              </v:shape>
            </w:pict>
          </mc:Fallback>
        </mc:AlternateContent>
      </w:r>
    </w:p>
    <w:p w14:paraId="06649B2E" w14:textId="77777777" w:rsidR="009B2CE9" w:rsidRDefault="009B2CE9">
      <w:pPr>
        <w:spacing w:line="240" w:lineRule="auto"/>
        <w:rPr>
          <w:rStyle w:val="italik"/>
          <w:rFonts w:eastAsiaTheme="majorEastAsia"/>
          <w:b/>
          <w:bCs/>
          <w:i/>
          <w:sz w:val="26"/>
          <w:lang w:val="sr-Cyrl-RS"/>
        </w:rPr>
      </w:pPr>
      <w:r>
        <w:rPr>
          <w:rStyle w:val="italik"/>
          <w:lang w:val="sr-Cyrl-RS"/>
        </w:rPr>
        <w:br w:type="page"/>
      </w:r>
    </w:p>
    <w:p w14:paraId="2002FDA2" w14:textId="34F7181B" w:rsidR="00545EB8" w:rsidRPr="00884CF0" w:rsidRDefault="00545EB8" w:rsidP="00884CF0">
      <w:pPr>
        <w:pStyle w:val="Heading3"/>
        <w:rPr>
          <w:rStyle w:val="italik"/>
          <w:lang w:val="sr-Cyrl-RS"/>
        </w:rPr>
      </w:pPr>
      <w:bookmarkStart w:id="13" w:name="_Toc119880825"/>
      <w:r w:rsidRPr="00884CF0">
        <w:rPr>
          <w:rStyle w:val="italik"/>
          <w:lang w:val="sr-Cyrl-RS"/>
        </w:rPr>
        <w:lastRenderedPageBreak/>
        <w:t>Е</w:t>
      </w:r>
      <w:r w:rsidR="00F711AE" w:rsidRPr="00884CF0">
        <w:rPr>
          <w:rStyle w:val="italik"/>
          <w:lang w:val="sr-Cyrl-RS"/>
        </w:rPr>
        <w:t>фективност</w:t>
      </w:r>
      <w:bookmarkEnd w:id="13"/>
      <w:r w:rsidR="00F711AE" w:rsidRPr="00884CF0">
        <w:rPr>
          <w:rStyle w:val="italik"/>
          <w:lang w:val="sr-Cyrl-RS"/>
        </w:rPr>
        <w:t xml:space="preserve"> </w:t>
      </w:r>
    </w:p>
    <w:p w14:paraId="5550681F" w14:textId="22E6B14D" w:rsidR="007D5FF7" w:rsidRPr="00884CF0" w:rsidRDefault="007D5FF7" w:rsidP="00884CF0">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 xml:space="preserve">Овај </w:t>
      </w:r>
      <w:r w:rsidR="009E33E4" w:rsidRPr="00884CF0">
        <w:rPr>
          <w:rStyle w:val="italik"/>
          <w:rFonts w:eastAsiaTheme="majorEastAsia"/>
          <w:lang w:val="sr-Cyrl-RS"/>
        </w:rPr>
        <w:t xml:space="preserve">кључни </w:t>
      </w:r>
      <w:r w:rsidR="00794160" w:rsidRPr="00884CF0">
        <w:rPr>
          <w:rStyle w:val="italik"/>
          <w:rFonts w:eastAsiaTheme="majorEastAsia"/>
          <w:lang w:val="sr-Cyrl-RS"/>
        </w:rPr>
        <w:t>сегмент</w:t>
      </w:r>
      <w:r w:rsidRPr="00884CF0">
        <w:rPr>
          <w:rStyle w:val="italik"/>
          <w:rFonts w:eastAsiaTheme="majorEastAsia"/>
          <w:lang w:val="sr-Cyrl-RS"/>
        </w:rPr>
        <w:t xml:space="preserve"> евалуације биће усмерен на ефекте главних циљева НОКС-а, док ће </w:t>
      </w:r>
      <w:r w:rsidR="00EC42E8" w:rsidRPr="00884CF0">
        <w:rPr>
          <w:rStyle w:val="italik"/>
          <w:rFonts w:eastAsiaTheme="majorEastAsia"/>
          <w:lang w:val="sr-Cyrl-RS"/>
        </w:rPr>
        <w:t>дубљи</w:t>
      </w:r>
      <w:r w:rsidRPr="00884CF0">
        <w:rPr>
          <w:rStyle w:val="italik"/>
          <w:rFonts w:eastAsiaTheme="majorEastAsia"/>
          <w:lang w:val="sr-Cyrl-RS"/>
        </w:rPr>
        <w:t xml:space="preserve"> допринос НОКС-а за појединца и</w:t>
      </w:r>
      <w:r w:rsidR="008857A5" w:rsidRPr="00884CF0">
        <w:rPr>
          <w:rStyle w:val="italik"/>
          <w:rFonts w:eastAsiaTheme="majorEastAsia"/>
          <w:lang w:val="sr-Cyrl-RS"/>
        </w:rPr>
        <w:t xml:space="preserve"> шири социјални контекст </w:t>
      </w:r>
      <w:r w:rsidRPr="00884CF0">
        <w:rPr>
          <w:rStyle w:val="italik"/>
          <w:rFonts w:eastAsiaTheme="majorEastAsia"/>
          <w:lang w:val="sr-Cyrl-RS"/>
        </w:rPr>
        <w:t xml:space="preserve">бити адресиран у оквиру </w:t>
      </w:r>
      <w:r w:rsidR="000D3C7D">
        <w:rPr>
          <w:rStyle w:val="italik"/>
          <w:rFonts w:eastAsiaTheme="majorEastAsia"/>
          <w:lang w:val="sr-Cyrl-RS"/>
        </w:rPr>
        <w:t xml:space="preserve">евалуативног </w:t>
      </w:r>
      <w:r w:rsidRPr="00884CF0">
        <w:rPr>
          <w:rStyle w:val="italik"/>
          <w:rFonts w:eastAsiaTheme="majorEastAsia"/>
          <w:lang w:val="sr-Cyrl-RS"/>
        </w:rPr>
        <w:t xml:space="preserve">критеријума </w:t>
      </w:r>
      <w:r w:rsidRPr="00884CF0">
        <w:rPr>
          <w:rStyle w:val="italik"/>
          <w:rFonts w:eastAsiaTheme="majorEastAsia"/>
          <w:i/>
          <w:iCs/>
          <w:lang w:val="sr-Cyrl-RS"/>
        </w:rPr>
        <w:t>Утицај</w:t>
      </w:r>
      <w:r w:rsidRPr="00884CF0">
        <w:rPr>
          <w:rStyle w:val="italik"/>
          <w:rFonts w:eastAsiaTheme="majorEastAsia"/>
          <w:lang w:val="sr-Cyrl-RS"/>
        </w:rPr>
        <w:t xml:space="preserve">. </w:t>
      </w:r>
    </w:p>
    <w:p w14:paraId="3765EEDC" w14:textId="7F88BC56" w:rsidR="00F711AE" w:rsidRPr="00884CF0" w:rsidRDefault="00545EB8" w:rsidP="00884CF0">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 xml:space="preserve">Процена ефективности откриће </w:t>
      </w:r>
      <w:r w:rsidR="00F711AE" w:rsidRPr="00884CF0">
        <w:rPr>
          <w:rStyle w:val="italik"/>
          <w:rFonts w:eastAsiaTheme="majorEastAsia"/>
          <w:lang w:val="sr-Cyrl-RS"/>
        </w:rPr>
        <w:t xml:space="preserve">да ли </w:t>
      </w:r>
      <w:r w:rsidRPr="00884CF0">
        <w:rPr>
          <w:rStyle w:val="italik"/>
          <w:rFonts w:eastAsiaTheme="majorEastAsia"/>
          <w:lang w:val="sr-Cyrl-RS"/>
        </w:rPr>
        <w:t xml:space="preserve">овако осмишљен и спроведен НОКС </w:t>
      </w:r>
      <w:r w:rsidR="00F711AE" w:rsidRPr="00884CF0">
        <w:rPr>
          <w:rStyle w:val="italik"/>
          <w:rFonts w:eastAsiaTheme="majorEastAsia"/>
          <w:lang w:val="sr-Cyrl-RS"/>
        </w:rPr>
        <w:t>доводи до достизања постављених циљева, односно да ли су активности и мере предузете приликом примене НОКС-а биле релевантне за остваривање жељених исхода и ефеката ове јавне политике.</w:t>
      </w:r>
      <w:r w:rsidRPr="00884CF0">
        <w:rPr>
          <w:rStyle w:val="italik"/>
          <w:rFonts w:eastAsiaTheme="majorEastAsia"/>
          <w:lang w:val="sr-Cyrl-RS"/>
        </w:rPr>
        <w:t xml:space="preserve"> Кључна</w:t>
      </w:r>
      <w:r w:rsidR="00942043" w:rsidRPr="00884CF0">
        <w:rPr>
          <w:rStyle w:val="italik"/>
          <w:rFonts w:eastAsiaTheme="majorEastAsia"/>
          <w:lang w:val="sr-Cyrl-RS"/>
        </w:rPr>
        <w:t xml:space="preserve"> евалуативна</w:t>
      </w:r>
      <w:r w:rsidRPr="00884CF0">
        <w:rPr>
          <w:rStyle w:val="italik"/>
          <w:rFonts w:eastAsiaTheme="majorEastAsia"/>
          <w:lang w:val="sr-Cyrl-RS"/>
        </w:rPr>
        <w:t xml:space="preserve"> питања однос</w:t>
      </w:r>
      <w:r w:rsidR="00942043" w:rsidRPr="00884CF0">
        <w:rPr>
          <w:rStyle w:val="italik"/>
          <w:rFonts w:eastAsiaTheme="majorEastAsia"/>
          <w:lang w:val="sr-Cyrl-RS"/>
        </w:rPr>
        <w:t>иће</w:t>
      </w:r>
      <w:r w:rsidRPr="00884CF0">
        <w:rPr>
          <w:rStyle w:val="italik"/>
          <w:rFonts w:eastAsiaTheme="majorEastAsia"/>
          <w:lang w:val="sr-Cyrl-RS"/>
        </w:rPr>
        <w:t xml:space="preserve"> </w:t>
      </w:r>
      <w:r w:rsidR="00411344" w:rsidRPr="00884CF0">
        <w:rPr>
          <w:rStyle w:val="italik"/>
          <w:rFonts w:eastAsiaTheme="majorEastAsia"/>
          <w:lang w:val="sr-Cyrl-RS"/>
        </w:rPr>
        <w:t>се на сваки од девет циљева НОКС-а:</w:t>
      </w:r>
    </w:p>
    <w:p w14:paraId="6EF14EF9" w14:textId="3776A073" w:rsidR="00EC42E8" w:rsidRPr="00884CF0" w:rsidRDefault="00EC42E8" w:rsidP="00EC42E8">
      <w:pPr>
        <w:pStyle w:val="basic-paragraph"/>
        <w:spacing w:line="360" w:lineRule="auto"/>
        <w:jc w:val="both"/>
        <w:rPr>
          <w:rStyle w:val="italik"/>
          <w:rFonts w:eastAsiaTheme="majorEastAsia"/>
          <w:lang w:val="sr-Cyrl-RS"/>
        </w:rPr>
      </w:pPr>
      <w:r w:rsidRPr="00884CF0">
        <w:rPr>
          <w:rFonts w:ascii="Calibri" w:eastAsia="Calibri" w:hAnsi="Calibri" w:cs="Arial"/>
          <w:noProof/>
          <w:sz w:val="22"/>
          <w:szCs w:val="22"/>
        </w:rPr>
        <mc:AlternateContent>
          <mc:Choice Requires="wps">
            <w:drawing>
              <wp:inline distT="0" distB="0" distL="0" distR="0" wp14:anchorId="5CF62BA6" wp14:editId="56B344CF">
                <wp:extent cx="5553075" cy="4248150"/>
                <wp:effectExtent l="19050" t="1905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248150"/>
                        </a:xfrm>
                        <a:prstGeom prst="rect">
                          <a:avLst/>
                        </a:prstGeom>
                        <a:solidFill>
                          <a:srgbClr val="FFFFFF"/>
                        </a:solidFill>
                        <a:ln w="38100" cmpd="dbl">
                          <a:solidFill>
                            <a:srgbClr val="4472C4">
                              <a:lumMod val="100000"/>
                              <a:lumOff val="0"/>
                            </a:srgbClr>
                          </a:solidFill>
                          <a:miter lim="800000"/>
                          <a:headEnd/>
                          <a:tailEnd/>
                        </a:ln>
                      </wps:spPr>
                      <wps:txbx>
                        <w:txbxContent>
                          <w:tbl>
                            <w:tblPr>
                              <w:tblStyle w:val="TableGrid2"/>
                              <w:tblW w:w="8364" w:type="dxa"/>
                              <w:tblInd w:w="-3" w:type="dxa"/>
                              <w:tblCellMar>
                                <w:top w:w="113" w:type="dxa"/>
                                <w:bottom w:w="113" w:type="dxa"/>
                              </w:tblCellMar>
                              <w:tblLook w:val="04A0" w:firstRow="1" w:lastRow="0" w:firstColumn="1" w:lastColumn="0" w:noHBand="0" w:noVBand="1"/>
                            </w:tblPr>
                            <w:tblGrid>
                              <w:gridCol w:w="3321"/>
                              <w:gridCol w:w="5043"/>
                            </w:tblGrid>
                            <w:tr w:rsidR="00EC42E8" w14:paraId="1176BF6B" w14:textId="77777777" w:rsidTr="007620BB">
                              <w:tc>
                                <w:tcPr>
                                  <w:tcW w:w="8364" w:type="dxa"/>
                                  <w:gridSpan w:val="2"/>
                                  <w:tcBorders>
                                    <w:top w:val="single" w:sz="2" w:space="0" w:color="4472C4"/>
                                    <w:left w:val="single" w:sz="2" w:space="0" w:color="4472C4"/>
                                    <w:bottom w:val="single" w:sz="12" w:space="0" w:color="4472C4"/>
                                    <w:right w:val="single" w:sz="12" w:space="0" w:color="4472C4"/>
                                  </w:tcBorders>
                                </w:tcPr>
                                <w:p w14:paraId="1CA56DEC" w14:textId="77777777" w:rsidR="00EC42E8" w:rsidRPr="00884CF0" w:rsidRDefault="00EC42E8" w:rsidP="00511B43">
                                  <w:pPr>
                                    <w:rPr>
                                      <w:rFonts w:ascii="Times New Roman" w:hAnsi="Times New Roman" w:cs="Times New Roman"/>
                                      <w:lang w:val="sr-Cyrl-RS"/>
                                    </w:rPr>
                                  </w:pPr>
                                  <w:r w:rsidRPr="00884CF0">
                                    <w:rPr>
                                      <w:rFonts w:ascii="Times New Roman" w:hAnsi="Times New Roman" w:cs="Times New Roman"/>
                                      <w:lang w:val="sr-Cyrl-RS"/>
                                    </w:rPr>
                                    <w:t>Критеријум 2: ЕФЕКТИВНОСТ</w:t>
                                  </w:r>
                                </w:p>
                              </w:tc>
                            </w:tr>
                            <w:tr w:rsidR="00EC42E8" w:rsidRPr="004E5959" w14:paraId="5A576809" w14:textId="77777777" w:rsidTr="007620BB">
                              <w:trPr>
                                <w:trHeight w:val="27"/>
                              </w:trPr>
                              <w:tc>
                                <w:tcPr>
                                  <w:tcW w:w="3321" w:type="dxa"/>
                                  <w:tcBorders>
                                    <w:top w:val="single" w:sz="12" w:space="0" w:color="4472C4"/>
                                    <w:left w:val="nil"/>
                                    <w:bottom w:val="single" w:sz="4" w:space="0" w:color="4472C4"/>
                                    <w:right w:val="nil"/>
                                  </w:tcBorders>
                                  <w:tcMar>
                                    <w:top w:w="57" w:type="dxa"/>
                                    <w:bottom w:w="57" w:type="dxa"/>
                                  </w:tcMar>
                                </w:tcPr>
                                <w:p w14:paraId="139A26B1" w14:textId="77777777" w:rsidR="00EC42E8" w:rsidRPr="00884CF0" w:rsidRDefault="00EC42E8" w:rsidP="00511B43">
                                  <w:pPr>
                                    <w:spacing w:line="240" w:lineRule="auto"/>
                                    <w:rPr>
                                      <w:rFonts w:ascii="Times New Roman" w:hAnsi="Times New Roman" w:cs="Times New Roman"/>
                                      <w:sz w:val="8"/>
                                      <w:szCs w:val="8"/>
                                    </w:rPr>
                                  </w:pPr>
                                </w:p>
                              </w:tc>
                              <w:tc>
                                <w:tcPr>
                                  <w:tcW w:w="5043" w:type="dxa"/>
                                  <w:tcBorders>
                                    <w:top w:val="single" w:sz="12" w:space="0" w:color="4472C4"/>
                                    <w:left w:val="nil"/>
                                    <w:bottom w:val="single" w:sz="4" w:space="0" w:color="4472C4"/>
                                    <w:right w:val="nil"/>
                                  </w:tcBorders>
                                  <w:tcMar>
                                    <w:top w:w="57" w:type="dxa"/>
                                    <w:bottom w:w="57" w:type="dxa"/>
                                  </w:tcMar>
                                </w:tcPr>
                                <w:p w14:paraId="1BCB1E55" w14:textId="77777777" w:rsidR="00EC42E8" w:rsidRPr="00884CF0" w:rsidRDefault="00EC42E8" w:rsidP="00511B43">
                                  <w:pPr>
                                    <w:spacing w:line="240" w:lineRule="auto"/>
                                    <w:rPr>
                                      <w:rFonts w:ascii="Times New Roman" w:hAnsi="Times New Roman" w:cs="Times New Roman"/>
                                      <w:sz w:val="8"/>
                                      <w:szCs w:val="8"/>
                                    </w:rPr>
                                  </w:pPr>
                                </w:p>
                              </w:tc>
                            </w:tr>
                            <w:tr w:rsidR="00EC42E8" w:rsidRPr="004D7EA5" w14:paraId="50B3F33B" w14:textId="77777777" w:rsidTr="007620BB">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663F1435" w14:textId="77777777" w:rsidR="00EC42E8" w:rsidRPr="00884CF0" w:rsidRDefault="00EC42E8" w:rsidP="00511B43">
                                  <w:pPr>
                                    <w:spacing w:line="360" w:lineRule="auto"/>
                                    <w:rPr>
                                      <w:rFonts w:ascii="Times New Roman" w:hAnsi="Times New Roman" w:cs="Times New Roman"/>
                                      <w:lang w:val="sr-Cyrl-RS"/>
                                    </w:rPr>
                                  </w:pPr>
                                  <w:r w:rsidRPr="00884CF0">
                                    <w:rPr>
                                      <w:rFonts w:ascii="Times New Roman" w:hAnsi="Times New Roman" w:cs="Times New Roman"/>
                                      <w:lang w:val="sr-Cyrl-RS"/>
                                    </w:rPr>
                                    <w:t>Да ли је процес имплементације НОКС-а био ефективан?</w:t>
                                  </w:r>
                                </w:p>
                              </w:tc>
                              <w:tc>
                                <w:tcPr>
                                  <w:tcW w:w="5043" w:type="dxa"/>
                                  <w:tcBorders>
                                    <w:top w:val="single" w:sz="4" w:space="0" w:color="4472C4"/>
                                    <w:left w:val="single" w:sz="2" w:space="0" w:color="000000"/>
                                    <w:bottom w:val="single" w:sz="2" w:space="0" w:color="000000"/>
                                    <w:right w:val="single" w:sz="12" w:space="0" w:color="4472C4"/>
                                  </w:tcBorders>
                                </w:tcPr>
                                <w:p w14:paraId="1CF72786" w14:textId="406E946B"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У којој мери су предвиђени резултати НОКС-а остварени?</w:t>
                                  </w:r>
                                </w:p>
                              </w:tc>
                            </w:tr>
                            <w:tr w:rsidR="00EC42E8" w:rsidRPr="004D7EA5" w14:paraId="4CEC8B95" w14:textId="77777777" w:rsidTr="007620BB">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2286F713"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2EC1692C" w14:textId="33CE03AC"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Уколико резултати нису остварени, да ли се разлика може квантификовати?</w:t>
                                  </w:r>
                                </w:p>
                              </w:tc>
                            </w:tr>
                            <w:tr w:rsidR="00EC42E8" w:rsidRPr="004D7EA5" w14:paraId="71D3074E"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29B3C1BA"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701BB3F1" w14:textId="54DBF786" w:rsidR="00EC42E8" w:rsidRPr="00884CF0" w:rsidRDefault="000D3C7D"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Pr>
                                      <w:rFonts w:ascii="Times New Roman" w:hAnsi="Times New Roman"/>
                                      <w:lang w:val="sr-Cyrl-RS"/>
                                    </w:rPr>
                                    <w:t xml:space="preserve"> </w:t>
                                  </w:r>
                                  <w:r w:rsidR="00EC42E8" w:rsidRPr="00884CF0">
                                    <w:rPr>
                                      <w:rFonts w:ascii="Times New Roman" w:hAnsi="Times New Roman"/>
                                      <w:lang w:val="sr-Cyrl-RS"/>
                                    </w:rPr>
                                    <w:t>Који фактори су допринели ефективној имплементацији НОКС-а и достизању циља?</w:t>
                                  </w:r>
                                </w:p>
                              </w:tc>
                            </w:tr>
                            <w:tr w:rsidR="00EC42E8" w:rsidRPr="004D7EA5" w14:paraId="277F4F56"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47CC24C3"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7DAB1631" w14:textId="072C9850" w:rsidR="00EC42E8" w:rsidRPr="00884CF0" w:rsidRDefault="000D3C7D"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Pr>
                                      <w:rFonts w:ascii="Times New Roman" w:hAnsi="Times New Roman"/>
                                      <w:lang w:val="sr-Cyrl-RS"/>
                                    </w:rPr>
                                    <w:t xml:space="preserve"> </w:t>
                                  </w:r>
                                  <w:r w:rsidR="00EC42E8" w:rsidRPr="00884CF0">
                                    <w:rPr>
                                      <w:rFonts w:ascii="Times New Roman" w:hAnsi="Times New Roman"/>
                                      <w:lang w:val="sr-Cyrl-RS"/>
                                    </w:rPr>
                                    <w:t>Који фактори су омели ефективну имплементацију НОКС-а и достизање циља?</w:t>
                                  </w:r>
                                </w:p>
                              </w:tc>
                            </w:tr>
                            <w:tr w:rsidR="00EC42E8" w:rsidRPr="004D7EA5" w14:paraId="3CB2A35B"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5A1361B2"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3497C022" w14:textId="77233AE2"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Да ли су изабране активности/мере релевантне и најадекватније за постизање резултата?</w:t>
                                  </w:r>
                                </w:p>
                              </w:tc>
                            </w:tr>
                            <w:tr w:rsidR="00EC42E8" w:rsidRPr="004D7EA5" w14:paraId="3E3DF669"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2C31AD15"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08C9BC00" w14:textId="5CA1689A"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Да ли су корисници јавне политике задовољни постигнутим исходима?</w:t>
                                  </w:r>
                                </w:p>
                              </w:tc>
                            </w:tr>
                          </w:tbl>
                          <w:p w14:paraId="6A22ECA3" w14:textId="77777777" w:rsidR="00EC42E8" w:rsidRPr="0028415C" w:rsidRDefault="00EC42E8" w:rsidP="00511B43">
                            <w:pPr>
                              <w:ind w:firstLine="0"/>
                              <w:rPr>
                                <w:sz w:val="8"/>
                                <w:szCs w:val="8"/>
                                <w:lang w:val="sr-Cyrl-RS"/>
                              </w:rPr>
                            </w:pPr>
                          </w:p>
                        </w:txbxContent>
                      </wps:txbx>
                      <wps:bodyPr rot="0" vert="horz" wrap="square" lIns="91440" tIns="90000" rIns="180000" bIns="36000" anchor="t" anchorCtr="0" upright="1">
                        <a:noAutofit/>
                      </wps:bodyPr>
                    </wps:wsp>
                  </a:graphicData>
                </a:graphic>
              </wp:inline>
            </w:drawing>
          </mc:Choice>
          <mc:Fallback>
            <w:pict>
              <v:shape w14:anchorId="5CF62BA6" id="_x0000_s1027" type="#_x0000_t202" style="width:43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" strokecolor="#4472c4" strokeweight="3pt">
                <v:stroke linestyle="thinThin"/>
                <v:textbox inset=",2.5mm,5mm,1mm">
                  <w:txbxContent>
                    <w:tbl>
                      <w:tblPr>
                        <w:tblStyle w:val="TableGrid2"/>
                        <w:tblW w:w="8364" w:type="dxa"/>
                        <w:tblInd w:w="-3" w:type="dxa"/>
                        <w:tblCellMar>
                          <w:top w:w="113" w:type="dxa"/>
                          <w:bottom w:w="113" w:type="dxa"/>
                        </w:tblCellMar>
                        <w:tblLook w:val="04A0" w:firstRow="1" w:lastRow="0" w:firstColumn="1" w:lastColumn="0" w:noHBand="0" w:noVBand="1"/>
                      </w:tblPr>
                      <w:tblGrid>
                        <w:gridCol w:w="3321"/>
                        <w:gridCol w:w="5043"/>
                      </w:tblGrid>
                      <w:tr w:rsidR="00EC42E8" w14:paraId="1176BF6B" w14:textId="77777777" w:rsidTr="007620BB">
                        <w:tc>
                          <w:tcPr>
                            <w:tcW w:w="8364" w:type="dxa"/>
                            <w:gridSpan w:val="2"/>
                            <w:tcBorders>
                              <w:top w:val="single" w:sz="2" w:space="0" w:color="4472C4"/>
                              <w:left w:val="single" w:sz="2" w:space="0" w:color="4472C4"/>
                              <w:bottom w:val="single" w:sz="12" w:space="0" w:color="4472C4"/>
                              <w:right w:val="single" w:sz="12" w:space="0" w:color="4472C4"/>
                            </w:tcBorders>
                          </w:tcPr>
                          <w:p w14:paraId="1CA56DEC" w14:textId="77777777" w:rsidR="00EC42E8" w:rsidRPr="00884CF0" w:rsidRDefault="00EC42E8" w:rsidP="00511B43">
                            <w:pPr>
                              <w:rPr>
                                <w:rFonts w:ascii="Times New Roman" w:hAnsi="Times New Roman" w:cs="Times New Roman"/>
                                <w:lang w:val="sr-Cyrl-RS"/>
                              </w:rPr>
                            </w:pPr>
                            <w:r w:rsidRPr="00884CF0">
                              <w:rPr>
                                <w:rFonts w:ascii="Times New Roman" w:hAnsi="Times New Roman" w:cs="Times New Roman"/>
                                <w:lang w:val="sr-Cyrl-RS"/>
                              </w:rPr>
                              <w:t>Критеријум 2: ЕФЕКТИВНОСТ</w:t>
                            </w:r>
                          </w:p>
                        </w:tc>
                      </w:tr>
                      <w:tr w:rsidR="00EC42E8" w:rsidRPr="004E5959" w14:paraId="5A576809" w14:textId="77777777" w:rsidTr="007620BB">
                        <w:trPr>
                          <w:trHeight w:val="27"/>
                        </w:trPr>
                        <w:tc>
                          <w:tcPr>
                            <w:tcW w:w="3321" w:type="dxa"/>
                            <w:tcBorders>
                              <w:top w:val="single" w:sz="12" w:space="0" w:color="4472C4"/>
                              <w:left w:val="nil"/>
                              <w:bottom w:val="single" w:sz="4" w:space="0" w:color="4472C4"/>
                              <w:right w:val="nil"/>
                            </w:tcBorders>
                            <w:tcMar>
                              <w:top w:w="57" w:type="dxa"/>
                              <w:bottom w:w="57" w:type="dxa"/>
                            </w:tcMar>
                          </w:tcPr>
                          <w:p w14:paraId="139A26B1" w14:textId="77777777" w:rsidR="00EC42E8" w:rsidRPr="00884CF0" w:rsidRDefault="00EC42E8" w:rsidP="00511B43">
                            <w:pPr>
                              <w:spacing w:line="240" w:lineRule="auto"/>
                              <w:rPr>
                                <w:rFonts w:ascii="Times New Roman" w:hAnsi="Times New Roman" w:cs="Times New Roman"/>
                                <w:sz w:val="8"/>
                                <w:szCs w:val="8"/>
                              </w:rPr>
                            </w:pPr>
                          </w:p>
                        </w:tc>
                        <w:tc>
                          <w:tcPr>
                            <w:tcW w:w="5043" w:type="dxa"/>
                            <w:tcBorders>
                              <w:top w:val="single" w:sz="12" w:space="0" w:color="4472C4"/>
                              <w:left w:val="nil"/>
                              <w:bottom w:val="single" w:sz="4" w:space="0" w:color="4472C4"/>
                              <w:right w:val="nil"/>
                            </w:tcBorders>
                            <w:tcMar>
                              <w:top w:w="57" w:type="dxa"/>
                              <w:bottom w:w="57" w:type="dxa"/>
                            </w:tcMar>
                          </w:tcPr>
                          <w:p w14:paraId="1BCB1E55" w14:textId="77777777" w:rsidR="00EC42E8" w:rsidRPr="00884CF0" w:rsidRDefault="00EC42E8" w:rsidP="00511B43">
                            <w:pPr>
                              <w:spacing w:line="240" w:lineRule="auto"/>
                              <w:rPr>
                                <w:rFonts w:ascii="Times New Roman" w:hAnsi="Times New Roman" w:cs="Times New Roman"/>
                                <w:sz w:val="8"/>
                                <w:szCs w:val="8"/>
                              </w:rPr>
                            </w:pPr>
                          </w:p>
                        </w:tc>
                      </w:tr>
                      <w:tr w:rsidR="00EC42E8" w:rsidRPr="004D7EA5" w14:paraId="50B3F33B" w14:textId="77777777" w:rsidTr="007620BB">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663F1435" w14:textId="77777777" w:rsidR="00EC42E8" w:rsidRPr="00884CF0" w:rsidRDefault="00EC42E8" w:rsidP="00511B43">
                            <w:pPr>
                              <w:spacing w:line="360" w:lineRule="auto"/>
                              <w:rPr>
                                <w:rFonts w:ascii="Times New Roman" w:hAnsi="Times New Roman" w:cs="Times New Roman"/>
                                <w:lang w:val="sr-Cyrl-RS"/>
                              </w:rPr>
                            </w:pPr>
                            <w:r w:rsidRPr="00884CF0">
                              <w:rPr>
                                <w:rFonts w:ascii="Times New Roman" w:hAnsi="Times New Roman" w:cs="Times New Roman"/>
                                <w:lang w:val="sr-Cyrl-RS"/>
                              </w:rPr>
                              <w:t>Да ли је процес имплементације НОКС-а био ефективан?</w:t>
                            </w:r>
                          </w:p>
                        </w:tc>
                        <w:tc>
                          <w:tcPr>
                            <w:tcW w:w="5043" w:type="dxa"/>
                            <w:tcBorders>
                              <w:top w:val="single" w:sz="4" w:space="0" w:color="4472C4"/>
                              <w:left w:val="single" w:sz="2" w:space="0" w:color="000000"/>
                              <w:bottom w:val="single" w:sz="2" w:space="0" w:color="000000"/>
                              <w:right w:val="single" w:sz="12" w:space="0" w:color="4472C4"/>
                            </w:tcBorders>
                          </w:tcPr>
                          <w:p w14:paraId="1CF72786" w14:textId="406E946B"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У којој мери су предвиђени резултати НОКС-а остварени?</w:t>
                            </w:r>
                          </w:p>
                        </w:tc>
                      </w:tr>
                      <w:tr w:rsidR="00EC42E8" w:rsidRPr="004D7EA5" w14:paraId="4CEC8B95" w14:textId="77777777" w:rsidTr="007620BB">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2286F713"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2EC1692C" w14:textId="33CE03AC"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Уколико резултати нису остварени, да ли се разлика може квантификовати?</w:t>
                            </w:r>
                          </w:p>
                        </w:tc>
                      </w:tr>
                      <w:tr w:rsidR="00EC42E8" w:rsidRPr="004D7EA5" w14:paraId="71D3074E"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29B3C1BA"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701BB3F1" w14:textId="54DBF786" w:rsidR="00EC42E8" w:rsidRPr="00884CF0" w:rsidRDefault="000D3C7D"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Pr>
                                <w:rFonts w:ascii="Times New Roman" w:hAnsi="Times New Roman"/>
                                <w:lang w:val="sr-Cyrl-RS"/>
                              </w:rPr>
                              <w:t xml:space="preserve"> </w:t>
                            </w:r>
                            <w:r w:rsidR="00EC42E8" w:rsidRPr="00884CF0">
                              <w:rPr>
                                <w:rFonts w:ascii="Times New Roman" w:hAnsi="Times New Roman"/>
                                <w:lang w:val="sr-Cyrl-RS"/>
                              </w:rPr>
                              <w:t>Који фактори су допринели ефективној имплементацији НОКС-а и достизању циља?</w:t>
                            </w:r>
                          </w:p>
                        </w:tc>
                      </w:tr>
                      <w:tr w:rsidR="00EC42E8" w:rsidRPr="004D7EA5" w14:paraId="277F4F56"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47CC24C3"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7DAB1631" w14:textId="072C9850" w:rsidR="00EC42E8" w:rsidRPr="00884CF0" w:rsidRDefault="000D3C7D"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Pr>
                                <w:rFonts w:ascii="Times New Roman" w:hAnsi="Times New Roman"/>
                                <w:lang w:val="sr-Cyrl-RS"/>
                              </w:rPr>
                              <w:t xml:space="preserve"> </w:t>
                            </w:r>
                            <w:r w:rsidR="00EC42E8" w:rsidRPr="00884CF0">
                              <w:rPr>
                                <w:rFonts w:ascii="Times New Roman" w:hAnsi="Times New Roman"/>
                                <w:lang w:val="sr-Cyrl-RS"/>
                              </w:rPr>
                              <w:t>Који фактори су омели ефективну имплементацију НОКС-а и достизање циља?</w:t>
                            </w:r>
                          </w:p>
                        </w:tc>
                      </w:tr>
                      <w:tr w:rsidR="00EC42E8" w:rsidRPr="004D7EA5" w14:paraId="3CB2A35B"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5A1361B2"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3497C022" w14:textId="77233AE2"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Да ли су изабране активности/мере релевантне и најадекватније за постизање резултата?</w:t>
                            </w:r>
                          </w:p>
                        </w:tc>
                      </w:tr>
                      <w:tr w:rsidR="00EC42E8" w:rsidRPr="004D7EA5" w14:paraId="3E3DF669" w14:textId="77777777" w:rsidTr="007620BB">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2C31AD15" w14:textId="77777777" w:rsidR="00EC42E8" w:rsidRPr="00884CF0" w:rsidRDefault="00EC42E8" w:rsidP="00511B43">
                            <w:pPr>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08C9BC00" w14:textId="5CA1689A" w:rsidR="00EC42E8" w:rsidRPr="00884CF0" w:rsidRDefault="00EC42E8" w:rsidP="00511B43">
                            <w:pPr>
                              <w:pStyle w:val="basic-paragraph"/>
                              <w:numPr>
                                <w:ilvl w:val="1"/>
                                <w:numId w:val="27"/>
                              </w:numPr>
                              <w:spacing w:before="0" w:beforeAutospacing="0" w:after="0" w:afterAutospacing="0" w:line="312" w:lineRule="auto"/>
                              <w:jc w:val="both"/>
                              <w:rPr>
                                <w:rFonts w:ascii="Times New Roman" w:hAnsi="Times New Roman"/>
                                <w:lang w:val="sr-Cyrl-RS"/>
                              </w:rPr>
                            </w:pPr>
                            <w:r w:rsidRPr="00884CF0">
                              <w:rPr>
                                <w:rFonts w:ascii="Times New Roman" w:hAnsi="Times New Roman"/>
                                <w:lang w:val="sr-Cyrl-RS"/>
                              </w:rPr>
                              <w:t>Да ли су корисници јавне политике задовољни постигнутим исходима?</w:t>
                            </w:r>
                          </w:p>
                        </w:tc>
                      </w:tr>
                    </w:tbl>
                    <w:p w14:paraId="6A22ECA3" w14:textId="77777777" w:rsidR="00EC42E8" w:rsidRPr="0028415C" w:rsidRDefault="00EC42E8" w:rsidP="00511B43">
                      <w:pPr>
                        <w:ind w:firstLine="0"/>
                        <w:rPr>
                          <w:sz w:val="8"/>
                          <w:szCs w:val="8"/>
                          <w:lang w:val="sr-Cyrl-RS"/>
                        </w:rPr>
                      </w:pPr>
                    </w:p>
                  </w:txbxContent>
                </v:textbox>
                <w10:anchorlock/>
              </v:shape>
            </w:pict>
          </mc:Fallback>
        </mc:AlternateContent>
      </w:r>
    </w:p>
    <w:p w14:paraId="028691FB" w14:textId="77777777" w:rsidR="00C1177D" w:rsidRPr="00C1177D" w:rsidRDefault="009E33E4" w:rsidP="00C1177D">
      <w:pPr>
        <w:pStyle w:val="basic-paragraph"/>
        <w:spacing w:line="360" w:lineRule="auto"/>
        <w:ind w:firstLine="720"/>
        <w:jc w:val="both"/>
        <w:rPr>
          <w:rStyle w:val="italik"/>
          <w:rFonts w:eastAsiaTheme="majorEastAsia"/>
          <w:lang w:val="sr-Cyrl-RS"/>
        </w:rPr>
      </w:pPr>
      <w:r w:rsidRPr="00884CF0">
        <w:rPr>
          <w:rStyle w:val="italik"/>
          <w:rFonts w:eastAsiaTheme="majorEastAsia"/>
          <w:lang w:val="sr-Cyrl-RS"/>
        </w:rPr>
        <w:t xml:space="preserve">Критеријум Ефективности </w:t>
      </w:r>
      <w:r w:rsidR="00A0401E" w:rsidRPr="00884CF0">
        <w:rPr>
          <w:rStyle w:val="italik"/>
          <w:rFonts w:eastAsiaTheme="majorEastAsia"/>
          <w:lang w:val="sr-Cyrl-RS"/>
        </w:rPr>
        <w:t>ће бити евалуиран и кроз следеће специфичне индикаторе развијене за сваки од утврђених циљева НОКС-а.</w:t>
      </w:r>
      <w:r w:rsidR="00C1177D">
        <w:rPr>
          <w:rStyle w:val="italik"/>
          <w:rFonts w:eastAsiaTheme="majorEastAsia"/>
          <w:lang w:val="sr-Cyrl-RS"/>
        </w:rPr>
        <w:t xml:space="preserve"> </w:t>
      </w:r>
      <w:r w:rsidR="00C1177D" w:rsidRPr="00C1177D">
        <w:rPr>
          <w:rStyle w:val="italik"/>
          <w:rFonts w:eastAsiaTheme="majorEastAsia"/>
          <w:lang w:val="sr-Cyrl-RS"/>
        </w:rPr>
        <w:t>Развој индикатора заснован је на одговарајућим методолошким приступима из међународних оквира, у којима је оваква врста индикатора идентификована као индикатори којима је могуће остварити и реформску функцију националних оквира квалификација.</w:t>
      </w:r>
    </w:p>
    <w:p w14:paraId="66820859" w14:textId="7F9AF94F" w:rsidR="00EC42E8" w:rsidRDefault="00EC42E8" w:rsidP="009B2CE9">
      <w:pPr>
        <w:pStyle w:val="basic-paragraph"/>
        <w:spacing w:before="0" w:beforeAutospacing="0" w:after="0" w:afterAutospacing="0" w:line="360" w:lineRule="auto"/>
        <w:ind w:firstLine="720"/>
        <w:jc w:val="both"/>
        <w:rPr>
          <w:rStyle w:val="italik"/>
          <w:rFonts w:eastAsiaTheme="majorEastAsia"/>
          <w:lang w:val="sr-Cyrl-RS"/>
        </w:rPr>
      </w:pPr>
    </w:p>
    <w:p w14:paraId="08C4792E" w14:textId="77777777" w:rsidR="00511B43" w:rsidRPr="00884CF0" w:rsidRDefault="00511B43" w:rsidP="009B2CE9">
      <w:pPr>
        <w:pStyle w:val="basic-paragraph"/>
        <w:spacing w:before="0" w:beforeAutospacing="0" w:after="0" w:afterAutospacing="0" w:line="360" w:lineRule="auto"/>
        <w:ind w:firstLine="720"/>
        <w:jc w:val="both"/>
        <w:rPr>
          <w:rStyle w:val="italik"/>
          <w:rFonts w:eastAsiaTheme="majorEastAsia"/>
          <w:lang w:val="sr-Cyrl-RS"/>
        </w:rPr>
      </w:pPr>
    </w:p>
    <w:p w14:paraId="2767DAB9" w14:textId="7F2A74CA" w:rsidR="00942043" w:rsidRPr="009B2CE9" w:rsidRDefault="0030332E"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Р</w:t>
      </w:r>
      <w:r w:rsidR="00942043" w:rsidRPr="009B2CE9">
        <w:rPr>
          <w:rFonts w:eastAsiaTheme="minorHAnsi" w:cs="B Nazanin"/>
          <w:i/>
          <w:iCs/>
          <w:szCs w:val="32"/>
          <w:lang w:val="sr-Cyrl-RS"/>
        </w:rPr>
        <w:t>азумљивост, прегледност и транспарентност квалификација, и њихова међусобна повезаност-број квалификација у регистру, број успостављених стандарда квалификација</w:t>
      </w:r>
    </w:p>
    <w:p w14:paraId="1EAFDF07" w14:textId="77777777" w:rsidR="00511B43" w:rsidRDefault="00511B43" w:rsidP="009B2CE9">
      <w:pPr>
        <w:pStyle w:val="basic-paragraph"/>
        <w:spacing w:before="0" w:beforeAutospacing="0" w:after="0" w:afterAutospacing="0" w:line="360" w:lineRule="auto"/>
        <w:ind w:left="720"/>
        <w:jc w:val="both"/>
        <w:rPr>
          <w:rFonts w:eastAsiaTheme="minorHAnsi" w:cs="B Nazanin"/>
          <w:szCs w:val="32"/>
          <w:lang w:val="sr-Cyrl-RS"/>
        </w:rPr>
      </w:pPr>
    </w:p>
    <w:p w14:paraId="1A5712C8" w14:textId="499A590F" w:rsidR="001677F6" w:rsidRPr="00884CF0" w:rsidRDefault="00362750"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r w:rsidR="00C1177D">
        <w:rPr>
          <w:rFonts w:eastAsiaTheme="minorHAnsi" w:cs="B Nazanin"/>
          <w:szCs w:val="32"/>
          <w:lang w:val="sr-Cyrl-RS"/>
        </w:rPr>
        <w:t>:</w:t>
      </w:r>
    </w:p>
    <w:p w14:paraId="389E3848" w14:textId="447921BF" w:rsidR="00C1177D" w:rsidRPr="00C1177D" w:rsidRDefault="00C1177D" w:rsidP="00C1177D">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Pr>
          <w:rFonts w:eastAsiaTheme="minorHAnsi" w:cs="B Nazanin"/>
          <w:szCs w:val="32"/>
          <w:lang w:val="sr-Cyrl-RS"/>
        </w:rPr>
        <w:t>П</w:t>
      </w:r>
      <w:r w:rsidRPr="00884CF0">
        <w:rPr>
          <w:rFonts w:eastAsiaTheme="minorHAnsi" w:cs="B Nazanin"/>
          <w:szCs w:val="32"/>
          <w:lang w:val="sr-Cyrl-RS"/>
        </w:rPr>
        <w:t>остојање јавно доступне националне базе квалификација-Регистар</w:t>
      </w:r>
    </w:p>
    <w:p w14:paraId="49C53D49" w14:textId="6DBA4197" w:rsidR="00795B3E" w:rsidRPr="00884CF0" w:rsidRDefault="00C1177D"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Pr>
          <w:rFonts w:eastAsiaTheme="minorHAnsi" w:cs="B Nazanin"/>
          <w:szCs w:val="32"/>
          <w:lang w:val="sr-Cyrl-RS"/>
        </w:rPr>
        <w:t>У</w:t>
      </w:r>
      <w:r w:rsidR="00795B3E" w:rsidRPr="00884CF0">
        <w:rPr>
          <w:rFonts w:eastAsiaTheme="minorHAnsi" w:cs="B Nazanin"/>
          <w:szCs w:val="32"/>
          <w:lang w:val="sr-Cyrl-RS"/>
        </w:rPr>
        <w:t xml:space="preserve">купан број квалификација у Регистру (уз </w:t>
      </w:r>
      <w:r w:rsidR="009B2CE9" w:rsidRPr="00884CF0">
        <w:rPr>
          <w:rFonts w:eastAsiaTheme="minorHAnsi" w:cs="B Nazanin"/>
          <w:szCs w:val="32"/>
          <w:lang w:val="sr-Cyrl-RS"/>
        </w:rPr>
        <w:t>приказ</w:t>
      </w:r>
      <w:r w:rsidR="00795B3E" w:rsidRPr="00884CF0">
        <w:rPr>
          <w:rFonts w:eastAsiaTheme="minorHAnsi" w:cs="B Nazanin"/>
          <w:szCs w:val="32"/>
          <w:lang w:val="sr-Cyrl-RS"/>
        </w:rPr>
        <w:t xml:space="preserve"> статуса квалификација: активне/пасивне квалификације)</w:t>
      </w:r>
    </w:p>
    <w:p w14:paraId="0FAC5594" w14:textId="44AA7192" w:rsidR="002A4270" w:rsidRPr="00884CF0" w:rsidRDefault="002A4270"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Проценат квалификација са стандардом у односу на укупан број квалификација</w:t>
      </w:r>
    </w:p>
    <w:p w14:paraId="59D3C3AE" w14:textId="21102E2C" w:rsidR="002A4270" w:rsidRPr="00884CF0" w:rsidRDefault="002A4270"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Број квалификација које су класификоване у складу са КЛАСНОКС</w:t>
      </w:r>
    </w:p>
    <w:p w14:paraId="56D49E1B" w14:textId="07F2A1CC" w:rsidR="001677F6" w:rsidRPr="00884CF0" w:rsidRDefault="001677F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Оптимизовање броја квалификација које су у понуди система образовања (п</w:t>
      </w:r>
      <w:r w:rsidR="00914067" w:rsidRPr="00884CF0">
        <w:rPr>
          <w:rFonts w:eastAsiaTheme="minorHAnsi" w:cs="B Nazanin"/>
          <w:szCs w:val="32"/>
          <w:lang w:val="sr-Cyrl-RS"/>
        </w:rPr>
        <w:t xml:space="preserve">овећање процента пасивизираних квалификација (услед промене у технологији, неусклађености са потребама тржишта рада </w:t>
      </w:r>
      <w:r w:rsidR="009B2CE9" w:rsidRPr="00884CF0">
        <w:rPr>
          <w:rFonts w:eastAsiaTheme="minorHAnsi" w:cs="B Nazanin"/>
          <w:szCs w:val="32"/>
          <w:lang w:val="sr-Cyrl-RS"/>
        </w:rPr>
        <w:t>итд.</w:t>
      </w:r>
      <w:r w:rsidR="00914067" w:rsidRPr="00884CF0">
        <w:rPr>
          <w:rFonts w:eastAsiaTheme="minorHAnsi" w:cs="B Nazanin"/>
          <w:szCs w:val="32"/>
          <w:lang w:val="sr-Cyrl-RS"/>
        </w:rPr>
        <w:t>) у односу на почетни укупни број квалификација</w:t>
      </w:r>
    </w:p>
    <w:p w14:paraId="45C58632" w14:textId="7469811F" w:rsidR="00F476AD" w:rsidRDefault="00F476AD"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Доступност визуелизација података о квалификацијама на порталу НОКС-а у циљу боље видљивости напретка у квалитету образовне понуде и усклађености са потребним занимањима на тржишту рада</w:t>
      </w:r>
    </w:p>
    <w:p w14:paraId="0E8B70EF"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563EB59C" w14:textId="456E6E2B" w:rsidR="00942043" w:rsidRPr="009B2CE9" w:rsidRDefault="009B2CE9"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 xml:space="preserve">Развој </w:t>
      </w:r>
      <w:r w:rsidR="00942043" w:rsidRPr="009B2CE9">
        <w:rPr>
          <w:rFonts w:eastAsiaTheme="minorHAnsi" w:cs="B Nazanin"/>
          <w:i/>
          <w:iCs/>
          <w:szCs w:val="32"/>
          <w:lang w:val="sr-Cyrl-RS"/>
        </w:rPr>
        <w:t>стандарда квалификација заснованих на потребама тржишта рада и друштва у целини;</w:t>
      </w:r>
    </w:p>
    <w:p w14:paraId="098ACAEB" w14:textId="64035A31" w:rsidR="002A4270" w:rsidRPr="00884CF0" w:rsidRDefault="002A4270"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r w:rsidR="00C1177D">
        <w:rPr>
          <w:rFonts w:eastAsiaTheme="minorHAnsi" w:cs="B Nazanin"/>
          <w:szCs w:val="32"/>
          <w:lang w:val="sr-Cyrl-RS"/>
        </w:rPr>
        <w:t>:</w:t>
      </w:r>
    </w:p>
    <w:p w14:paraId="1A5A781C" w14:textId="2CC26D5C" w:rsidR="002A4270" w:rsidRPr="00884CF0" w:rsidRDefault="002A4270"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Број одлука </w:t>
      </w:r>
      <w:r w:rsidR="00922575" w:rsidRPr="00884CF0">
        <w:rPr>
          <w:rFonts w:eastAsiaTheme="minorHAnsi" w:cs="B Nazanin"/>
          <w:szCs w:val="32"/>
          <w:lang w:val="sr-Cyrl-RS"/>
        </w:rPr>
        <w:t xml:space="preserve">о развоју стандарда квалификација </w:t>
      </w:r>
      <w:r w:rsidRPr="00884CF0">
        <w:rPr>
          <w:rFonts w:eastAsiaTheme="minorHAnsi" w:cs="B Nazanin"/>
          <w:szCs w:val="32"/>
          <w:lang w:val="sr-Cyrl-RS"/>
        </w:rPr>
        <w:t>Секторских већа на основу образложених иницијатива са ас</w:t>
      </w:r>
      <w:r w:rsidR="00F72D28" w:rsidRPr="00884CF0">
        <w:rPr>
          <w:rFonts w:eastAsiaTheme="minorHAnsi" w:cs="B Nazanin"/>
          <w:szCs w:val="32"/>
          <w:lang w:val="sr-Cyrl-RS"/>
        </w:rPr>
        <w:t>п</w:t>
      </w:r>
      <w:r w:rsidRPr="00884CF0">
        <w:rPr>
          <w:rFonts w:eastAsiaTheme="minorHAnsi" w:cs="B Nazanin"/>
          <w:szCs w:val="32"/>
          <w:lang w:val="sr-Cyrl-RS"/>
        </w:rPr>
        <w:t>екта тржишта рада</w:t>
      </w:r>
    </w:p>
    <w:p w14:paraId="20E398A5" w14:textId="30B29576" w:rsidR="00F82694" w:rsidRPr="00884CF0" w:rsidRDefault="00F72D28"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Број одлука о развоју стандарда квалификација Секторских већа на основу образложених иницијатива са аспекта усклађености </w:t>
      </w:r>
      <w:r w:rsidR="00F82694" w:rsidRPr="00884CF0">
        <w:rPr>
          <w:rFonts w:eastAsiaTheme="minorHAnsi" w:cs="B Nazanin"/>
          <w:szCs w:val="32"/>
          <w:lang w:val="sr-Cyrl-RS"/>
        </w:rPr>
        <w:t>са глобалним циљевим</w:t>
      </w:r>
      <w:r w:rsidRPr="00884CF0">
        <w:rPr>
          <w:rFonts w:eastAsiaTheme="minorHAnsi" w:cs="B Nazanin"/>
          <w:szCs w:val="32"/>
          <w:lang w:val="sr-Cyrl-RS"/>
        </w:rPr>
        <w:t xml:space="preserve">а </w:t>
      </w:r>
      <w:r w:rsidR="00F82694" w:rsidRPr="00884CF0">
        <w:rPr>
          <w:rFonts w:eastAsiaTheme="minorHAnsi" w:cs="B Nazanin"/>
          <w:szCs w:val="32"/>
          <w:lang w:val="sr-Cyrl-RS"/>
        </w:rPr>
        <w:t xml:space="preserve">одрживог развоја (зелена </w:t>
      </w:r>
      <w:r w:rsidRPr="00884CF0">
        <w:rPr>
          <w:rFonts w:eastAsiaTheme="minorHAnsi" w:cs="B Nazanin"/>
          <w:szCs w:val="32"/>
          <w:lang w:val="sr-Cyrl-RS"/>
        </w:rPr>
        <w:t>агенда</w:t>
      </w:r>
      <w:r w:rsidR="00F82694" w:rsidRPr="00884CF0">
        <w:rPr>
          <w:rFonts w:eastAsiaTheme="minorHAnsi" w:cs="B Nazanin"/>
          <w:szCs w:val="32"/>
          <w:lang w:val="sr-Cyrl-RS"/>
        </w:rPr>
        <w:t>, дигитална трансформација и сл</w:t>
      </w:r>
      <w:r w:rsidRPr="00884CF0">
        <w:rPr>
          <w:rFonts w:eastAsiaTheme="minorHAnsi" w:cs="B Nazanin"/>
          <w:szCs w:val="32"/>
          <w:lang w:val="sr-Cyrl-RS"/>
        </w:rPr>
        <w:t>.</w:t>
      </w:r>
      <w:r w:rsidR="00F82694" w:rsidRPr="00884CF0">
        <w:rPr>
          <w:rFonts w:eastAsiaTheme="minorHAnsi" w:cs="B Nazanin"/>
          <w:szCs w:val="32"/>
          <w:lang w:val="sr-Cyrl-RS"/>
        </w:rPr>
        <w:t>)</w:t>
      </w:r>
    </w:p>
    <w:p w14:paraId="4E1C9E3E" w14:textId="7D46B68F" w:rsidR="00ED1232" w:rsidRPr="00884CF0" w:rsidRDefault="00ED1232"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Проценат запослених свршених ученика/студената </w:t>
      </w:r>
      <w:r w:rsidR="00231503" w:rsidRPr="00884CF0">
        <w:rPr>
          <w:rFonts w:eastAsiaTheme="minorHAnsi" w:cs="B Nazanin"/>
          <w:szCs w:val="32"/>
          <w:lang w:val="sr-Cyrl-RS"/>
        </w:rPr>
        <w:t>са стеченом квалификацијом заснованом на стандарду</w:t>
      </w:r>
    </w:p>
    <w:p w14:paraId="2D8D494F" w14:textId="77777777" w:rsidR="00231503" w:rsidRPr="00884CF0" w:rsidRDefault="0023150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Брзина тј. временски распон запошљавања свршених ученика/студената са стеченом квалификацијом заснованом на стандарду</w:t>
      </w:r>
    </w:p>
    <w:p w14:paraId="1CD69931" w14:textId="3B132D94" w:rsidR="00231503" w:rsidRPr="00884CF0" w:rsidRDefault="0023150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Брзина, тј. динамика увођења у посао</w:t>
      </w:r>
    </w:p>
    <w:p w14:paraId="69C85DFB" w14:textId="16783F3E" w:rsidR="00231503" w:rsidRDefault="0023150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lastRenderedPageBreak/>
        <w:t>Процена квалитета стечених компетенција од стране послодаваца</w:t>
      </w:r>
    </w:p>
    <w:p w14:paraId="1E1EECC4"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331E6918" w14:textId="6EDB0E5E" w:rsidR="00ED1232" w:rsidRPr="009B2CE9" w:rsidRDefault="0030332E"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О</w:t>
      </w:r>
      <w:r w:rsidR="00942043" w:rsidRPr="009B2CE9">
        <w:rPr>
          <w:rFonts w:eastAsiaTheme="minorHAnsi" w:cs="B Nazanin"/>
          <w:i/>
          <w:iCs/>
          <w:szCs w:val="32"/>
          <w:lang w:val="sr-Cyrl-RS"/>
        </w:rPr>
        <w:t>безбеђивање оријентисаности целокупног образовања на и</w:t>
      </w:r>
      <w:r w:rsidR="00F72D28" w:rsidRPr="009B2CE9">
        <w:rPr>
          <w:rFonts w:eastAsiaTheme="minorHAnsi" w:cs="B Nazanin"/>
          <w:i/>
          <w:iCs/>
          <w:szCs w:val="32"/>
          <w:lang w:val="sr-Cyrl-RS"/>
        </w:rPr>
        <w:t>сх</w:t>
      </w:r>
      <w:r w:rsidR="00942043" w:rsidRPr="009B2CE9">
        <w:rPr>
          <w:rFonts w:eastAsiaTheme="minorHAnsi" w:cs="B Nazanin"/>
          <w:i/>
          <w:iCs/>
          <w:szCs w:val="32"/>
          <w:lang w:val="sr-Cyrl-RS"/>
        </w:rPr>
        <w:t>оде учења којима се изграђују компетенције дефинисане стандардом дате квалификације;</w:t>
      </w:r>
    </w:p>
    <w:p w14:paraId="6580B5D9" w14:textId="5C0BBF0C" w:rsidR="00F72D28" w:rsidRPr="00884CF0" w:rsidRDefault="00F72D28"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r w:rsidR="00A60C16" w:rsidRPr="00884CF0">
        <w:rPr>
          <w:rFonts w:eastAsiaTheme="minorHAnsi" w:cs="B Nazanin"/>
          <w:szCs w:val="32"/>
          <w:lang w:val="sr-Cyrl-RS"/>
        </w:rPr>
        <w:t>:</w:t>
      </w:r>
    </w:p>
    <w:p w14:paraId="7E7E284D" w14:textId="7A9E8276" w:rsidR="00A60C16" w:rsidRPr="00884CF0" w:rsidRDefault="0095122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Број образовних програма на свим </w:t>
      </w:r>
      <w:r w:rsidR="00ED1232" w:rsidRPr="00884CF0">
        <w:rPr>
          <w:rFonts w:eastAsiaTheme="minorHAnsi" w:cs="B Nazanin"/>
          <w:szCs w:val="32"/>
          <w:lang w:val="sr-Cyrl-RS"/>
        </w:rPr>
        <w:t xml:space="preserve">нивоима </w:t>
      </w:r>
      <w:r w:rsidRPr="00884CF0">
        <w:rPr>
          <w:rFonts w:eastAsiaTheme="minorHAnsi" w:cs="B Nazanin"/>
          <w:szCs w:val="32"/>
          <w:lang w:val="sr-Cyrl-RS"/>
        </w:rPr>
        <w:t>образовања који су засновани на исходима сваке</w:t>
      </w:r>
      <w:r w:rsidR="00ED1232" w:rsidRPr="00884CF0">
        <w:rPr>
          <w:rFonts w:eastAsiaTheme="minorHAnsi" w:cs="B Nazanin"/>
          <w:szCs w:val="32"/>
          <w:lang w:val="sr-Cyrl-RS"/>
        </w:rPr>
        <w:t xml:space="preserve"> стандардизоване</w:t>
      </w:r>
      <w:r w:rsidRPr="00884CF0">
        <w:rPr>
          <w:rFonts w:eastAsiaTheme="minorHAnsi" w:cs="B Nazanin"/>
          <w:szCs w:val="32"/>
          <w:lang w:val="sr-Cyrl-RS"/>
        </w:rPr>
        <w:t xml:space="preserve"> квалификације</w:t>
      </w:r>
    </w:p>
    <w:p w14:paraId="4E899A35" w14:textId="236DDA5F" w:rsidR="00951226" w:rsidRDefault="0095122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Временски оквир у ком су образовни програми донесени у односу на </w:t>
      </w:r>
      <w:r w:rsidR="00ED1232" w:rsidRPr="00884CF0">
        <w:rPr>
          <w:rFonts w:eastAsiaTheme="minorHAnsi" w:cs="B Nazanin"/>
          <w:szCs w:val="32"/>
          <w:lang w:val="sr-Cyrl-RS"/>
        </w:rPr>
        <w:t>успостављање стандарда квалификације</w:t>
      </w:r>
    </w:p>
    <w:p w14:paraId="485F26B5"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67E1E9D1" w14:textId="6AD1755F" w:rsidR="00942043" w:rsidRPr="009B2CE9" w:rsidRDefault="0030332E"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У</w:t>
      </w:r>
      <w:r w:rsidR="00942043" w:rsidRPr="009B2CE9">
        <w:rPr>
          <w:rFonts w:eastAsiaTheme="minorHAnsi" w:cs="B Nazanin"/>
          <w:i/>
          <w:iCs/>
          <w:szCs w:val="32"/>
          <w:lang w:val="sr-Cyrl-RS"/>
        </w:rPr>
        <w:t>напређивање приступа, флексибилности путева и проходности у систему формалног и неформалног образовања</w:t>
      </w:r>
    </w:p>
    <w:p w14:paraId="4F9ED32E" w14:textId="78F26396" w:rsidR="00231503" w:rsidRPr="00884CF0" w:rsidRDefault="00231503"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p>
    <w:p w14:paraId="05E36BEE" w14:textId="39109868" w:rsidR="00231503" w:rsidRPr="00884CF0" w:rsidRDefault="0023150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Јасно дефинисане процедуре </w:t>
      </w:r>
      <w:r w:rsidR="005D6F36" w:rsidRPr="00884CF0">
        <w:rPr>
          <w:rFonts w:eastAsiaTheme="minorHAnsi" w:cs="B Nazanin"/>
          <w:szCs w:val="32"/>
          <w:lang w:val="sr-Cyrl-RS"/>
        </w:rPr>
        <w:t xml:space="preserve">и предуслови </w:t>
      </w:r>
      <w:r w:rsidRPr="00884CF0">
        <w:rPr>
          <w:rFonts w:eastAsiaTheme="minorHAnsi" w:cs="B Nazanin"/>
          <w:szCs w:val="32"/>
          <w:lang w:val="sr-Cyrl-RS"/>
        </w:rPr>
        <w:t xml:space="preserve">за приступање програмима </w:t>
      </w:r>
      <w:r w:rsidR="005D6F36" w:rsidRPr="00884CF0">
        <w:rPr>
          <w:rFonts w:eastAsiaTheme="minorHAnsi" w:cs="B Nazanin"/>
          <w:szCs w:val="32"/>
          <w:lang w:val="sr-Cyrl-RS"/>
        </w:rPr>
        <w:t xml:space="preserve">на </w:t>
      </w:r>
      <w:r w:rsidRPr="00884CF0">
        <w:rPr>
          <w:rFonts w:eastAsiaTheme="minorHAnsi" w:cs="B Nazanin"/>
          <w:szCs w:val="32"/>
          <w:lang w:val="sr-Cyrl-RS"/>
        </w:rPr>
        <w:t xml:space="preserve">различитим нивоима </w:t>
      </w:r>
      <w:r w:rsidR="009B2CE9" w:rsidRPr="00884CF0">
        <w:rPr>
          <w:rFonts w:eastAsiaTheme="minorHAnsi" w:cs="B Nazanin"/>
          <w:szCs w:val="32"/>
          <w:lang w:val="sr-Cyrl-RS"/>
        </w:rPr>
        <w:t>образовања</w:t>
      </w:r>
    </w:p>
    <w:p w14:paraId="5FA2FC60" w14:textId="1C555CE2" w:rsidR="005D6F36" w:rsidRPr="00884CF0" w:rsidRDefault="005D6F3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Проценат ученика</w:t>
      </w:r>
      <w:r w:rsidR="00C1177D">
        <w:rPr>
          <w:rFonts w:eastAsiaTheme="minorHAnsi" w:cs="B Nazanin"/>
          <w:szCs w:val="32"/>
          <w:lang w:val="sr-Cyrl-RS"/>
        </w:rPr>
        <w:t>/</w:t>
      </w:r>
      <w:r w:rsidRPr="00884CF0">
        <w:rPr>
          <w:rFonts w:eastAsiaTheme="minorHAnsi" w:cs="B Nazanin"/>
          <w:szCs w:val="32"/>
          <w:lang w:val="sr-Cyrl-RS"/>
        </w:rPr>
        <w:t>студената повратника у систем образовања (формално, неформално)</w:t>
      </w:r>
    </w:p>
    <w:p w14:paraId="7054D209" w14:textId="0F486503" w:rsidR="005D6F36" w:rsidRPr="00884CF0" w:rsidRDefault="005D6F3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Број преквалификација и доквалификација</w:t>
      </w:r>
    </w:p>
    <w:p w14:paraId="6757D88A" w14:textId="0169DE75" w:rsidR="00C827E7" w:rsidRPr="00884CF0" w:rsidRDefault="00C827E7"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Број понуда обука за преквалификације и доквалификације</w:t>
      </w:r>
    </w:p>
    <w:p w14:paraId="5587E56D" w14:textId="11D90B11" w:rsidR="00C827E7" w:rsidRPr="00884CF0" w:rsidRDefault="00C827E7"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Број школа, акредитованих организација и тренинг центара које обезбеђују обуке за преквалификације у доквалификације</w:t>
      </w:r>
    </w:p>
    <w:p w14:paraId="29DF4F45" w14:textId="2B585E66" w:rsidR="00C827E7" w:rsidRPr="00884CF0" w:rsidRDefault="00C827E7"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Број школа, кредитованих организација и високошколских установа које </w:t>
      </w:r>
      <w:r w:rsidR="00EB34B0" w:rsidRPr="00884CF0">
        <w:rPr>
          <w:rFonts w:eastAsiaTheme="minorHAnsi" w:cs="B Nazanin"/>
          <w:szCs w:val="32"/>
          <w:lang w:val="sr-Cyrl-RS"/>
        </w:rPr>
        <w:t>спровод</w:t>
      </w:r>
      <w:r w:rsidR="00C1177D">
        <w:rPr>
          <w:rFonts w:eastAsiaTheme="minorHAnsi" w:cs="B Nazanin"/>
          <w:szCs w:val="32"/>
          <w:lang w:val="sr-Cyrl-RS"/>
        </w:rPr>
        <w:t>е</w:t>
      </w:r>
      <w:r w:rsidR="00EB34B0" w:rsidRPr="00884CF0">
        <w:rPr>
          <w:rFonts w:eastAsiaTheme="minorHAnsi" w:cs="B Nazanin"/>
          <w:szCs w:val="32"/>
          <w:lang w:val="sr-Cyrl-RS"/>
        </w:rPr>
        <w:t xml:space="preserve"> активности </w:t>
      </w:r>
      <w:r w:rsidRPr="00884CF0">
        <w:rPr>
          <w:rFonts w:eastAsiaTheme="minorHAnsi" w:cs="B Nazanin"/>
          <w:szCs w:val="32"/>
          <w:lang w:val="sr-Cyrl-RS"/>
        </w:rPr>
        <w:t xml:space="preserve">каријерног вођења у складу са стандардима услуга </w:t>
      </w:r>
    </w:p>
    <w:p w14:paraId="3CB3F238" w14:textId="7A3DF820" w:rsidR="00C827E7" w:rsidRPr="00884CF0" w:rsidRDefault="00EB34B0"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Постојање формалне могућности за проходност студената кроз систем високог образовања у односу на врсте квалификација (струковне-академске)</w:t>
      </w:r>
    </w:p>
    <w:p w14:paraId="3664CBDA" w14:textId="63C7586A" w:rsidR="00EB34B0" w:rsidRPr="00884CF0" w:rsidRDefault="00BE6B2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Омогућавање проходности са нивоа 3 НОКС: п</w:t>
      </w:r>
      <w:r w:rsidR="00EB34B0" w:rsidRPr="00884CF0">
        <w:rPr>
          <w:rFonts w:eastAsiaTheme="minorHAnsi" w:cs="B Nazanin"/>
          <w:szCs w:val="32"/>
          <w:lang w:val="sr-Cyrl-RS"/>
        </w:rPr>
        <w:t>остојање</w:t>
      </w:r>
      <w:r w:rsidRPr="00884CF0">
        <w:rPr>
          <w:rFonts w:eastAsiaTheme="minorHAnsi" w:cs="B Nazanin"/>
          <w:szCs w:val="32"/>
          <w:lang w:val="sr-Cyrl-RS"/>
        </w:rPr>
        <w:t xml:space="preserve"> легислативне основе </w:t>
      </w:r>
      <w:r w:rsidR="00D705C0" w:rsidRPr="00884CF0">
        <w:rPr>
          <w:rFonts w:eastAsiaTheme="minorHAnsi" w:cs="B Nazanin"/>
          <w:szCs w:val="32"/>
          <w:lang w:val="sr-Cyrl-RS"/>
        </w:rPr>
        <w:t xml:space="preserve">за полагање државне матуре и постојање </w:t>
      </w:r>
      <w:r w:rsidR="00EB34B0" w:rsidRPr="00884CF0">
        <w:rPr>
          <w:rFonts w:eastAsiaTheme="minorHAnsi" w:cs="B Nazanin"/>
          <w:szCs w:val="32"/>
          <w:lang w:val="sr-Cyrl-RS"/>
        </w:rPr>
        <w:t>индивидуалне подршке</w:t>
      </w:r>
      <w:r w:rsidR="00D705C0" w:rsidRPr="00884CF0">
        <w:rPr>
          <w:rFonts w:eastAsiaTheme="minorHAnsi" w:cs="B Nazanin"/>
          <w:szCs w:val="32"/>
          <w:lang w:val="sr-Cyrl-RS"/>
        </w:rPr>
        <w:t xml:space="preserve"> за полагање матуре</w:t>
      </w:r>
      <w:r w:rsidR="00EB34B0" w:rsidRPr="00884CF0">
        <w:rPr>
          <w:rFonts w:eastAsiaTheme="minorHAnsi" w:cs="B Nazanin"/>
          <w:szCs w:val="32"/>
          <w:lang w:val="sr-Cyrl-RS"/>
        </w:rPr>
        <w:t xml:space="preserve"> (програми за стицање додатних </w:t>
      </w:r>
      <w:r w:rsidR="00D705C0" w:rsidRPr="00884CF0">
        <w:rPr>
          <w:rFonts w:eastAsiaTheme="minorHAnsi" w:cs="B Nazanin"/>
          <w:szCs w:val="32"/>
          <w:lang w:val="sr-Cyrl-RS"/>
        </w:rPr>
        <w:t xml:space="preserve">кључних </w:t>
      </w:r>
      <w:r w:rsidR="00EB34B0" w:rsidRPr="00884CF0">
        <w:rPr>
          <w:rFonts w:eastAsiaTheme="minorHAnsi" w:cs="B Nazanin"/>
          <w:szCs w:val="32"/>
          <w:lang w:val="sr-Cyrl-RS"/>
        </w:rPr>
        <w:t>компетенција)</w:t>
      </w:r>
    </w:p>
    <w:p w14:paraId="38C91F58" w14:textId="055CD070" w:rsidR="00143587" w:rsidRDefault="00BE6B26"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Омогућавање проходности са нивоа 5 НОКС:</w:t>
      </w:r>
      <w:r w:rsidR="00D705C0" w:rsidRPr="00884CF0">
        <w:rPr>
          <w:rFonts w:eastAsiaTheme="minorHAnsi" w:cs="B Nazanin"/>
          <w:szCs w:val="32"/>
          <w:lang w:val="sr-Cyrl-RS"/>
        </w:rPr>
        <w:t xml:space="preserve"> </w:t>
      </w:r>
      <w:r w:rsidR="00750445" w:rsidRPr="00884CF0">
        <w:rPr>
          <w:rFonts w:eastAsiaTheme="minorHAnsi" w:cs="B Nazanin"/>
          <w:szCs w:val="32"/>
          <w:lang w:val="sr-Cyrl-RS"/>
        </w:rPr>
        <w:t>постојање система осигурања квалитета за приступ високом образовању (на пример признавање претходног учења као услов за наставак школовања у одговарајућем програму/квалификацији високог образовања)</w:t>
      </w:r>
    </w:p>
    <w:p w14:paraId="54B514A1"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60D3EB10" w14:textId="40FE5CD6" w:rsidR="00942043" w:rsidRPr="009B2CE9" w:rsidRDefault="0030332E"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lastRenderedPageBreak/>
        <w:t>О</w:t>
      </w:r>
      <w:r w:rsidR="00942043" w:rsidRPr="009B2CE9">
        <w:rPr>
          <w:rFonts w:eastAsiaTheme="minorHAnsi" w:cs="B Nazanin"/>
          <w:i/>
          <w:iCs/>
          <w:szCs w:val="32"/>
          <w:lang w:val="sr-Cyrl-RS"/>
        </w:rPr>
        <w:t>безбеђивање препознавања и признавања неформалног и информалног учења;</w:t>
      </w:r>
    </w:p>
    <w:p w14:paraId="2A517729" w14:textId="5ABF4B70" w:rsidR="001A0F6F" w:rsidRPr="00884CF0" w:rsidRDefault="001A0F6F"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Развијен легислативни оквир и стандарди за признавање неформалног и информалног учења;</w:t>
      </w:r>
    </w:p>
    <w:p w14:paraId="77BDFB00" w14:textId="20BFE7F8" w:rsidR="000548C8" w:rsidRPr="00884CF0" w:rsidRDefault="000548C8"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Број акредитованих образовних институција за спровођење ППУ</w:t>
      </w:r>
    </w:p>
    <w:p w14:paraId="74A5FAD3" w14:textId="28486471" w:rsidR="000548C8" w:rsidRPr="00884CF0" w:rsidRDefault="000548C8"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Број издатих исправа за квалификације стечене кроз поступак ППУ</w:t>
      </w:r>
    </w:p>
    <w:p w14:paraId="2D09BE15" w14:textId="77BED05A" w:rsidR="00143587" w:rsidRPr="00884CF0" w:rsidRDefault="00143587"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Изједначавање вредности исправа стечених у формалном и неформалном образовању</w:t>
      </w:r>
      <w:r w:rsidR="000548C8" w:rsidRPr="00884CF0">
        <w:rPr>
          <w:rFonts w:eastAsiaTheme="minorHAnsi" w:cs="B Nazanin"/>
          <w:szCs w:val="32"/>
          <w:lang w:val="sr-Cyrl-RS"/>
        </w:rPr>
        <w:t xml:space="preserve">, путем ППУ </w:t>
      </w:r>
      <w:r w:rsidRPr="00884CF0">
        <w:rPr>
          <w:rFonts w:eastAsiaTheme="minorHAnsi" w:cs="B Nazanin"/>
          <w:szCs w:val="32"/>
          <w:lang w:val="sr-Cyrl-RS"/>
        </w:rPr>
        <w:t>као и прав</w:t>
      </w:r>
      <w:r w:rsidR="000548C8" w:rsidRPr="00884CF0">
        <w:rPr>
          <w:rFonts w:eastAsiaTheme="minorHAnsi" w:cs="B Nazanin"/>
          <w:szCs w:val="32"/>
          <w:lang w:val="sr-Cyrl-RS"/>
        </w:rPr>
        <w:t>о</w:t>
      </w:r>
      <w:r w:rsidRPr="00884CF0">
        <w:rPr>
          <w:rFonts w:eastAsiaTheme="minorHAnsi" w:cs="B Nazanin"/>
          <w:szCs w:val="32"/>
          <w:lang w:val="sr-Cyrl-RS"/>
        </w:rPr>
        <w:t xml:space="preserve"> на наставак школовања (прецизирање легислативе и омогућавање признавања кључних компетенција стечених кроз неформално или информално учење или могућности похађања </w:t>
      </w:r>
      <w:r w:rsidR="009B2CE9" w:rsidRPr="00884CF0">
        <w:rPr>
          <w:rFonts w:eastAsiaTheme="minorHAnsi" w:cs="B Nazanin"/>
          <w:szCs w:val="32"/>
          <w:lang w:val="sr-Cyrl-RS"/>
        </w:rPr>
        <w:t>програма</w:t>
      </w:r>
      <w:r w:rsidRPr="00884CF0">
        <w:rPr>
          <w:rFonts w:eastAsiaTheme="minorHAnsi" w:cs="B Nazanin"/>
          <w:szCs w:val="32"/>
          <w:lang w:val="sr-Cyrl-RS"/>
        </w:rPr>
        <w:t xml:space="preserve"> за стицање кључних компетенција за ниво 3 и 4 НОКС)</w:t>
      </w:r>
    </w:p>
    <w:p w14:paraId="7448041F" w14:textId="41E54A51" w:rsidR="00143587" w:rsidRDefault="007645CC"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Постојање адекватне </w:t>
      </w:r>
      <w:r w:rsidR="009B2CE9" w:rsidRPr="00884CF0">
        <w:rPr>
          <w:rFonts w:eastAsiaTheme="minorHAnsi" w:cs="B Nazanin"/>
          <w:szCs w:val="32"/>
          <w:lang w:val="sr-Cyrl-RS"/>
        </w:rPr>
        <w:t>легислативе</w:t>
      </w:r>
      <w:r w:rsidRPr="00884CF0">
        <w:rPr>
          <w:rFonts w:eastAsiaTheme="minorHAnsi" w:cs="B Nazanin"/>
          <w:szCs w:val="32"/>
          <w:lang w:val="sr-Cyrl-RS"/>
        </w:rPr>
        <w:t xml:space="preserve"> за признавање претходног учења на нивоима НОКС-а у високом образовању и обезбеђени капацитети високошколских установа за имплементацију процедуре и стандарда за признавање претходног учења. </w:t>
      </w:r>
    </w:p>
    <w:p w14:paraId="1460D980"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0AB1EED7" w14:textId="53C894BD" w:rsidR="00E8477C" w:rsidRPr="009B2CE9" w:rsidRDefault="0030332E"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А</w:t>
      </w:r>
      <w:r w:rsidR="00942043" w:rsidRPr="009B2CE9">
        <w:rPr>
          <w:rFonts w:eastAsiaTheme="minorHAnsi" w:cs="B Nazanin"/>
          <w:i/>
          <w:iCs/>
          <w:szCs w:val="32"/>
          <w:lang w:val="sr-Cyrl-RS"/>
        </w:rPr>
        <w:t>фирмисање значаја кључних, општих и међупредметних компетенција за учење током целог живота;</w:t>
      </w:r>
    </w:p>
    <w:p w14:paraId="4D448AEE" w14:textId="2FCE9590" w:rsidR="00752535" w:rsidRPr="00884CF0" w:rsidRDefault="00752535"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p>
    <w:p w14:paraId="234C7288" w14:textId="2E40A496" w:rsidR="00752535" w:rsidRPr="00884CF0" w:rsidRDefault="00752535"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Заступљеност кључних компетенција у стандардима за све нивое квалификација у складу са европским оквиром кључних компетенција </w:t>
      </w:r>
      <w:r w:rsidR="0030332E" w:rsidRPr="00884CF0">
        <w:rPr>
          <w:rFonts w:eastAsiaTheme="minorHAnsi" w:cs="B Nazanin"/>
          <w:szCs w:val="32"/>
          <w:lang w:val="sr-Cyrl-RS"/>
        </w:rPr>
        <w:t>и националном методологијом за развој стандарда квалификација</w:t>
      </w:r>
    </w:p>
    <w:p w14:paraId="5F3D9198" w14:textId="295E29CD" w:rsidR="00E8477C" w:rsidRDefault="00E8477C"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Унапређен методолошки оквир кључних компетенција у стандардима квалификација за предуниверзитетско образовање (у складу са ревидираним и пилотираним стандардима </w:t>
      </w:r>
      <w:r w:rsidR="009B2CE9" w:rsidRPr="00884CF0">
        <w:rPr>
          <w:rFonts w:eastAsiaTheme="minorHAnsi" w:cs="B Nazanin"/>
          <w:szCs w:val="32"/>
          <w:lang w:val="sr-Cyrl-RS"/>
        </w:rPr>
        <w:t>постигнућа</w:t>
      </w:r>
      <w:r w:rsidRPr="00884CF0">
        <w:rPr>
          <w:rFonts w:eastAsiaTheme="minorHAnsi" w:cs="B Nazanin"/>
          <w:szCs w:val="32"/>
          <w:lang w:val="sr-Cyrl-RS"/>
        </w:rPr>
        <w:t>), као и за високо образовање</w:t>
      </w:r>
      <w:r w:rsidR="00511B43">
        <w:rPr>
          <w:rFonts w:eastAsiaTheme="minorHAnsi" w:cs="B Nazanin"/>
          <w:szCs w:val="32"/>
          <w:lang w:val="sr-Cyrl-RS"/>
        </w:rPr>
        <w:t>.</w:t>
      </w:r>
    </w:p>
    <w:p w14:paraId="174733B0"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060B5A64" w14:textId="33F0B009" w:rsidR="00942043" w:rsidRPr="009B2CE9" w:rsidRDefault="00E8477C"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У</w:t>
      </w:r>
      <w:r w:rsidR="00942043" w:rsidRPr="009B2CE9">
        <w:rPr>
          <w:rFonts w:eastAsiaTheme="minorHAnsi" w:cs="B Nazanin"/>
          <w:i/>
          <w:iCs/>
          <w:szCs w:val="32"/>
          <w:lang w:val="sr-Cyrl-RS"/>
        </w:rPr>
        <w:t>напређивање сарадње међу релевантним заинтересованим странама односно социјалним партнерима;</w:t>
      </w:r>
    </w:p>
    <w:p w14:paraId="339E1134" w14:textId="3D9AA24D" w:rsidR="00E8477C" w:rsidRPr="00884CF0" w:rsidRDefault="00E8477C"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p>
    <w:p w14:paraId="705135B8" w14:textId="6378A98C" w:rsidR="00E8477C" w:rsidRPr="00884CF0" w:rsidRDefault="00E8477C"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Оперативн</w:t>
      </w:r>
      <w:r w:rsidR="00E85399" w:rsidRPr="00884CF0">
        <w:rPr>
          <w:rFonts w:eastAsiaTheme="minorHAnsi" w:cs="B Nazanin"/>
          <w:szCs w:val="32"/>
          <w:lang w:val="sr-Cyrl-RS"/>
        </w:rPr>
        <w:t>ост</w:t>
      </w:r>
      <w:r w:rsidRPr="00884CF0">
        <w:rPr>
          <w:rFonts w:eastAsiaTheme="minorHAnsi" w:cs="B Nazanin"/>
          <w:szCs w:val="32"/>
          <w:lang w:val="sr-Cyrl-RS"/>
        </w:rPr>
        <w:t xml:space="preserve"> и функционалн</w:t>
      </w:r>
      <w:r w:rsidR="00E85399" w:rsidRPr="00884CF0">
        <w:rPr>
          <w:rFonts w:eastAsiaTheme="minorHAnsi" w:cs="B Nazanin"/>
          <w:szCs w:val="32"/>
          <w:lang w:val="sr-Cyrl-RS"/>
        </w:rPr>
        <w:t>ост</w:t>
      </w:r>
      <w:r w:rsidRPr="00884CF0">
        <w:rPr>
          <w:rFonts w:eastAsiaTheme="minorHAnsi" w:cs="B Nazanin"/>
          <w:szCs w:val="32"/>
          <w:lang w:val="sr-Cyrl-RS"/>
        </w:rPr>
        <w:t xml:space="preserve"> секторск</w:t>
      </w:r>
      <w:r w:rsidR="00E85399" w:rsidRPr="00884CF0">
        <w:rPr>
          <w:rFonts w:eastAsiaTheme="minorHAnsi" w:cs="B Nazanin"/>
          <w:szCs w:val="32"/>
          <w:lang w:val="sr-Cyrl-RS"/>
        </w:rPr>
        <w:t>их</w:t>
      </w:r>
      <w:r w:rsidRPr="00884CF0">
        <w:rPr>
          <w:rFonts w:eastAsiaTheme="minorHAnsi" w:cs="B Nazanin"/>
          <w:szCs w:val="32"/>
          <w:lang w:val="sr-Cyrl-RS"/>
        </w:rPr>
        <w:t xml:space="preserve"> већа </w:t>
      </w:r>
      <w:r w:rsidR="00E85399" w:rsidRPr="00884CF0">
        <w:rPr>
          <w:rFonts w:eastAsiaTheme="minorHAnsi" w:cs="B Nazanin"/>
          <w:szCs w:val="32"/>
          <w:lang w:val="sr-Cyrl-RS"/>
        </w:rPr>
        <w:t xml:space="preserve">(квантитативни показатељи: број седница, број </w:t>
      </w:r>
      <w:r w:rsidR="009B2CE9" w:rsidRPr="00884CF0">
        <w:rPr>
          <w:rFonts w:eastAsiaTheme="minorHAnsi" w:cs="B Nazanin"/>
          <w:szCs w:val="32"/>
          <w:lang w:val="sr-Cyrl-RS"/>
        </w:rPr>
        <w:t>донесених</w:t>
      </w:r>
      <w:r w:rsidR="00E85399" w:rsidRPr="00884CF0">
        <w:rPr>
          <w:rFonts w:eastAsiaTheme="minorHAnsi" w:cs="B Nazanin"/>
          <w:szCs w:val="32"/>
          <w:lang w:val="sr-Cyrl-RS"/>
        </w:rPr>
        <w:t xml:space="preserve"> одлука, број иницијатива које су Већа самостално развила, и </w:t>
      </w:r>
      <w:r w:rsidR="009B2CE9" w:rsidRPr="00884CF0">
        <w:rPr>
          <w:rFonts w:eastAsiaTheme="minorHAnsi" w:cs="B Nazanin"/>
          <w:szCs w:val="32"/>
          <w:lang w:val="sr-Cyrl-RS"/>
        </w:rPr>
        <w:t>сл.</w:t>
      </w:r>
      <w:r w:rsidR="00E85399" w:rsidRPr="00884CF0">
        <w:rPr>
          <w:rFonts w:eastAsiaTheme="minorHAnsi" w:cs="B Nazanin"/>
          <w:szCs w:val="32"/>
          <w:lang w:val="sr-Cyrl-RS"/>
        </w:rPr>
        <w:t>; квалитативни показатељи: субјективна процена председника и кључних чланова секторских већа)</w:t>
      </w:r>
    </w:p>
    <w:p w14:paraId="0D952948" w14:textId="342E0F4E" w:rsidR="00E85399" w:rsidRPr="00884CF0" w:rsidRDefault="002F4521"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lastRenderedPageBreak/>
        <w:t xml:space="preserve">Број </w:t>
      </w:r>
      <w:r w:rsidR="00E85399" w:rsidRPr="00884CF0">
        <w:rPr>
          <w:rFonts w:eastAsiaTheme="minorHAnsi" w:cs="B Nazanin"/>
          <w:szCs w:val="32"/>
          <w:lang w:val="sr-Cyrl-RS"/>
        </w:rPr>
        <w:t>секторских већа</w:t>
      </w:r>
      <w:r w:rsidRPr="00884CF0">
        <w:rPr>
          <w:rFonts w:eastAsiaTheme="minorHAnsi" w:cs="B Nazanin"/>
          <w:szCs w:val="32"/>
          <w:lang w:val="sr-Cyrl-RS"/>
        </w:rPr>
        <w:t xml:space="preserve"> и њихова структура</w:t>
      </w:r>
      <w:r w:rsidR="00E85399" w:rsidRPr="00884CF0">
        <w:rPr>
          <w:rFonts w:eastAsiaTheme="minorHAnsi" w:cs="B Nazanin"/>
          <w:szCs w:val="32"/>
          <w:lang w:val="sr-Cyrl-RS"/>
        </w:rPr>
        <w:t xml:space="preserve"> (б</w:t>
      </w:r>
      <w:r w:rsidRPr="00884CF0">
        <w:rPr>
          <w:rFonts w:eastAsiaTheme="minorHAnsi" w:cs="B Nazanin"/>
          <w:szCs w:val="32"/>
          <w:lang w:val="sr-Cyrl-RS"/>
        </w:rPr>
        <w:t xml:space="preserve">рој и заступљеност представника кључних партнера и њихова компетентност и </w:t>
      </w:r>
      <w:r w:rsidR="009B2CE9" w:rsidRPr="00884CF0">
        <w:rPr>
          <w:rFonts w:eastAsiaTheme="minorHAnsi" w:cs="B Nazanin"/>
          <w:szCs w:val="32"/>
          <w:lang w:val="sr-Cyrl-RS"/>
        </w:rPr>
        <w:t>релевантност</w:t>
      </w:r>
      <w:r w:rsidRPr="00884CF0">
        <w:rPr>
          <w:rFonts w:eastAsiaTheme="minorHAnsi" w:cs="B Nazanin"/>
          <w:szCs w:val="32"/>
          <w:lang w:val="sr-Cyrl-RS"/>
        </w:rPr>
        <w:t xml:space="preserve"> за доношење секторских одлука)</w:t>
      </w:r>
    </w:p>
    <w:p w14:paraId="74A0E41C" w14:textId="5AB42B37" w:rsidR="00F17B7A" w:rsidRPr="00884CF0" w:rsidRDefault="00F17B7A"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Заступљеност кључних партнера и представника заинтересованих страна у систему НОКС-а- Секторска већа, Савет за НОКС</w:t>
      </w:r>
    </w:p>
    <w:p w14:paraId="241DC0D2" w14:textId="5A484AEA" w:rsidR="00F17B7A" w:rsidRPr="00884CF0" w:rsidRDefault="00F17B7A"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Избор представника заинтересованих страна по критеријуму стручности, насупрот делегатском (нпр. </w:t>
      </w:r>
      <w:r w:rsidR="009B2CE9">
        <w:rPr>
          <w:rFonts w:eastAsiaTheme="minorHAnsi" w:cs="B Nazanin"/>
          <w:szCs w:val="32"/>
          <w:lang w:val="sr-Cyrl-RS"/>
        </w:rPr>
        <w:t>и</w:t>
      </w:r>
      <w:r w:rsidRPr="00884CF0">
        <w:rPr>
          <w:rFonts w:eastAsiaTheme="minorHAnsi" w:cs="B Nazanin"/>
          <w:szCs w:val="32"/>
          <w:lang w:val="sr-Cyrl-RS"/>
        </w:rPr>
        <w:t>збор путем конкурса са јасно дефинисаним критеријумима)</w:t>
      </w:r>
    </w:p>
    <w:p w14:paraId="3A277027" w14:textId="3A03C9FC" w:rsidR="008F1C78" w:rsidRPr="00884CF0" w:rsidRDefault="008F1C78"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Успостављен методолошки алат за описивање занимања на националном нивоу у складу са ESCO, ради унапређивања квалитета исхода учења у стандардима квалификација</w:t>
      </w:r>
    </w:p>
    <w:p w14:paraId="3E688E01" w14:textId="1C76772A" w:rsidR="00017B73" w:rsidRDefault="00017B7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Утврђивање надлежног тела или институције за доношење описа занимања</w:t>
      </w:r>
    </w:p>
    <w:p w14:paraId="07C649FF"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7C976699" w14:textId="294FD3CF" w:rsidR="00942043" w:rsidRPr="009B2CE9" w:rsidRDefault="00E8477C" w:rsidP="009B2CE9">
      <w:pPr>
        <w:pStyle w:val="basic-paragraph"/>
        <w:numPr>
          <w:ilvl w:val="0"/>
          <w:numId w:val="16"/>
        </w:numPr>
        <w:spacing w:before="0" w:beforeAutospacing="0" w:after="0" w:afterAutospacing="0" w:line="360" w:lineRule="auto"/>
        <w:jc w:val="both"/>
        <w:rPr>
          <w:rFonts w:eastAsiaTheme="minorHAnsi" w:cs="B Nazanin"/>
          <w:i/>
          <w:iCs/>
          <w:szCs w:val="32"/>
          <w:lang w:val="sr-Cyrl-RS"/>
        </w:rPr>
      </w:pPr>
      <w:r w:rsidRPr="009B2CE9">
        <w:rPr>
          <w:rFonts w:eastAsiaTheme="minorHAnsi" w:cs="B Nazanin"/>
          <w:i/>
          <w:iCs/>
          <w:szCs w:val="32"/>
          <w:lang w:val="sr-Cyrl-RS"/>
        </w:rPr>
        <w:t>О</w:t>
      </w:r>
      <w:r w:rsidR="00942043" w:rsidRPr="009B2CE9">
        <w:rPr>
          <w:rFonts w:eastAsiaTheme="minorHAnsi" w:cs="B Nazanin"/>
          <w:i/>
          <w:iCs/>
          <w:szCs w:val="32"/>
          <w:lang w:val="sr-Cyrl-RS"/>
        </w:rPr>
        <w:t>безбеђивање система квалитета у процесу развоја и стицања квалификација;</w:t>
      </w:r>
    </w:p>
    <w:p w14:paraId="767D6418" w14:textId="315CBE60" w:rsidR="006320D2" w:rsidRPr="00884CF0" w:rsidRDefault="006320D2" w:rsidP="009B2CE9">
      <w:pPr>
        <w:pStyle w:val="basic-paragraph"/>
        <w:spacing w:before="0" w:beforeAutospacing="0" w:after="0" w:afterAutospacing="0" w:line="360" w:lineRule="auto"/>
        <w:ind w:left="720"/>
        <w:jc w:val="both"/>
        <w:rPr>
          <w:rFonts w:eastAsiaTheme="minorHAnsi" w:cs="B Nazanin"/>
          <w:szCs w:val="32"/>
          <w:lang w:val="sr-Cyrl-RS"/>
        </w:rPr>
      </w:pPr>
      <w:r w:rsidRPr="00884CF0">
        <w:rPr>
          <w:rFonts w:eastAsiaTheme="minorHAnsi" w:cs="B Nazanin"/>
          <w:szCs w:val="32"/>
          <w:lang w:val="sr-Cyrl-RS"/>
        </w:rPr>
        <w:t>Индикатори:</w:t>
      </w:r>
    </w:p>
    <w:p w14:paraId="0D66A772" w14:textId="509667FE" w:rsidR="00F17B7A" w:rsidRPr="00884CF0" w:rsidRDefault="00F17B7A"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Постојање методолошког и процедуралног оквира за развој и увођење нових квалификација</w:t>
      </w:r>
    </w:p>
    <w:p w14:paraId="35206287" w14:textId="69A7FD67" w:rsidR="006320D2" w:rsidRPr="00884CF0" w:rsidRDefault="006320D2"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Успостављена систем одлучивања о квалификацијама на бази података о потребама тржишта рада и других </w:t>
      </w:r>
      <w:r w:rsidR="009B2CE9" w:rsidRPr="00884CF0">
        <w:rPr>
          <w:rFonts w:eastAsiaTheme="minorHAnsi" w:cs="B Nazanin"/>
          <w:szCs w:val="32"/>
          <w:lang w:val="sr-Cyrl-RS"/>
        </w:rPr>
        <w:t>релевантних</w:t>
      </w:r>
      <w:r w:rsidRPr="00884CF0">
        <w:rPr>
          <w:rFonts w:eastAsiaTheme="minorHAnsi" w:cs="B Nazanin"/>
          <w:szCs w:val="32"/>
          <w:lang w:val="sr-Cyrl-RS"/>
        </w:rPr>
        <w:t xml:space="preserve"> аналитичких подлога</w:t>
      </w:r>
    </w:p>
    <w:p w14:paraId="4963892F" w14:textId="4A97EE82" w:rsidR="006320D2" w:rsidRPr="00884CF0" w:rsidRDefault="006320D2"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 xml:space="preserve">Обезбеђивање методолошког оквира за функционално </w:t>
      </w:r>
      <w:r w:rsidR="008F1C78" w:rsidRPr="00884CF0">
        <w:rPr>
          <w:rFonts w:eastAsiaTheme="minorHAnsi" w:cs="B Nazanin"/>
          <w:szCs w:val="32"/>
          <w:lang w:val="sr-Cyrl-RS"/>
        </w:rPr>
        <w:t>превођење стандарда у исходе учења у модуларним програмима на свим нивоима, те евалуације (нпр. стандарди акредитације у високом образовању) квалитета програма у односу на стандард квалификација</w:t>
      </w:r>
    </w:p>
    <w:p w14:paraId="0F300A07" w14:textId="5D1176E7" w:rsidR="008F1C78" w:rsidRDefault="008F1C78"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884CF0">
        <w:rPr>
          <w:rFonts w:eastAsiaTheme="minorHAnsi" w:cs="B Nazanin"/>
          <w:szCs w:val="32"/>
          <w:lang w:val="sr-Cyrl-RS"/>
        </w:rPr>
        <w:t>Успостављен систем завршних, матурских, дипломских испита у складу са компетенцијама утврђеним стандардом квалификација</w:t>
      </w:r>
    </w:p>
    <w:p w14:paraId="020B6FC3" w14:textId="77777777" w:rsidR="00511B43" w:rsidRPr="00884CF0" w:rsidRDefault="00511B43" w:rsidP="00511B43">
      <w:pPr>
        <w:pStyle w:val="basic-paragraph"/>
        <w:spacing w:before="0" w:beforeAutospacing="0" w:after="0" w:afterAutospacing="0" w:line="360" w:lineRule="auto"/>
        <w:jc w:val="both"/>
        <w:rPr>
          <w:rFonts w:eastAsiaTheme="minorHAnsi" w:cs="B Nazanin"/>
          <w:szCs w:val="32"/>
          <w:lang w:val="sr-Cyrl-RS"/>
        </w:rPr>
      </w:pPr>
    </w:p>
    <w:p w14:paraId="7C31E6C4" w14:textId="41A5DDA6" w:rsidR="00942043" w:rsidRPr="00B15ABE" w:rsidRDefault="00E8477C" w:rsidP="009B2CE9">
      <w:pPr>
        <w:pStyle w:val="basic-paragraph"/>
        <w:numPr>
          <w:ilvl w:val="0"/>
          <w:numId w:val="16"/>
        </w:numPr>
        <w:spacing w:before="0" w:beforeAutospacing="0" w:after="0" w:afterAutospacing="0" w:line="360" w:lineRule="auto"/>
        <w:jc w:val="both"/>
        <w:rPr>
          <w:rFonts w:eastAsiaTheme="majorEastAsia"/>
          <w:i/>
          <w:iCs/>
          <w:lang w:val="sr-Cyrl-RS"/>
        </w:rPr>
      </w:pPr>
      <w:r w:rsidRPr="009B2CE9">
        <w:rPr>
          <w:rFonts w:eastAsiaTheme="minorHAnsi" w:cs="B Nazanin"/>
          <w:i/>
          <w:iCs/>
          <w:szCs w:val="32"/>
          <w:lang w:val="sr-Cyrl-RS"/>
        </w:rPr>
        <w:t>О</w:t>
      </w:r>
      <w:r w:rsidR="00942043" w:rsidRPr="009B2CE9">
        <w:rPr>
          <w:rFonts w:eastAsiaTheme="minorHAnsi" w:cs="B Nazanin"/>
          <w:i/>
          <w:iCs/>
          <w:szCs w:val="32"/>
          <w:lang w:val="sr-Cyrl-RS"/>
        </w:rPr>
        <w:t>безбеђивање упоредивости и препознатљивости квалификација стечених у Републици Србији са квалификацијама стеченим у другим државама</w:t>
      </w:r>
    </w:p>
    <w:p w14:paraId="1334FCC7" w14:textId="0999D9A2" w:rsidR="00B15ABE" w:rsidRPr="00B15ABE" w:rsidRDefault="00B15ABE" w:rsidP="00B15ABE">
      <w:pPr>
        <w:pStyle w:val="basic-paragraph"/>
        <w:spacing w:before="0" w:beforeAutospacing="0" w:after="0" w:afterAutospacing="0" w:line="360" w:lineRule="auto"/>
        <w:ind w:left="720"/>
        <w:jc w:val="both"/>
        <w:rPr>
          <w:rFonts w:eastAsiaTheme="majorEastAsia"/>
          <w:lang w:val="sr-Cyrl-RS"/>
        </w:rPr>
      </w:pPr>
      <w:r>
        <w:rPr>
          <w:rFonts w:eastAsiaTheme="minorHAnsi" w:cs="B Nazanin"/>
          <w:szCs w:val="32"/>
          <w:lang w:val="sr-Cyrl-RS"/>
        </w:rPr>
        <w:t>Индикатори:</w:t>
      </w:r>
    </w:p>
    <w:p w14:paraId="6E1216F6" w14:textId="77777777" w:rsidR="00A00E63" w:rsidRPr="009B2CE9" w:rsidRDefault="00A00E6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9B2CE9">
        <w:rPr>
          <w:rFonts w:eastAsiaTheme="minorHAnsi" w:cs="B Nazanin"/>
          <w:szCs w:val="32"/>
          <w:lang w:val="sr-Cyrl-RS"/>
        </w:rPr>
        <w:t xml:space="preserve">Референсираност НОКС-а у односу на ЕОК </w:t>
      </w:r>
    </w:p>
    <w:p w14:paraId="180E92D9" w14:textId="6A905E35" w:rsidR="009453F1" w:rsidRPr="009B2CE9" w:rsidRDefault="009B2CE9"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9B2CE9">
        <w:rPr>
          <w:rFonts w:eastAsiaTheme="minorHAnsi" w:cs="B Nazanin"/>
          <w:szCs w:val="32"/>
          <w:lang w:val="sr-Cyrl-RS"/>
        </w:rPr>
        <w:t>Признавање</w:t>
      </w:r>
      <w:r w:rsidR="00A00E63" w:rsidRPr="009B2CE9">
        <w:rPr>
          <w:rFonts w:eastAsiaTheme="minorHAnsi" w:cs="B Nazanin"/>
          <w:szCs w:val="32"/>
          <w:lang w:val="sr-Cyrl-RS"/>
        </w:rPr>
        <w:t xml:space="preserve"> статуса НОКС-а стеченог кроз процес референсирања у легислативном оквиру</w:t>
      </w:r>
    </w:p>
    <w:p w14:paraId="33B609C3" w14:textId="1BDF5FC8" w:rsidR="00A00E63" w:rsidRPr="009B2CE9" w:rsidRDefault="00A00E6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9B2CE9">
        <w:rPr>
          <w:rFonts w:eastAsiaTheme="minorHAnsi" w:cs="B Nazanin"/>
          <w:szCs w:val="32"/>
          <w:lang w:val="sr-Cyrl-RS"/>
        </w:rPr>
        <w:lastRenderedPageBreak/>
        <w:t>Измене образаца исправа на свим нивоима образовања у складу са стандардима квалификација и обележјима ЕОК нивоа</w:t>
      </w:r>
    </w:p>
    <w:p w14:paraId="459E15F2" w14:textId="3F9BA303" w:rsidR="00A00E63" w:rsidRPr="009B2CE9" w:rsidRDefault="00A00E63" w:rsidP="009B2CE9">
      <w:pPr>
        <w:pStyle w:val="basic-paragraph"/>
        <w:numPr>
          <w:ilvl w:val="0"/>
          <w:numId w:val="2"/>
        </w:numPr>
        <w:spacing w:before="0" w:beforeAutospacing="0" w:after="0" w:afterAutospacing="0" w:line="360" w:lineRule="auto"/>
        <w:ind w:left="1276" w:hanging="357"/>
        <w:jc w:val="both"/>
        <w:rPr>
          <w:rFonts w:eastAsiaTheme="minorHAnsi" w:cs="B Nazanin"/>
          <w:szCs w:val="32"/>
          <w:lang w:val="sr-Cyrl-RS"/>
        </w:rPr>
      </w:pPr>
      <w:r w:rsidRPr="009B2CE9">
        <w:rPr>
          <w:rFonts w:eastAsiaTheme="minorHAnsi" w:cs="B Nazanin"/>
          <w:szCs w:val="32"/>
          <w:lang w:val="sr-Cyrl-RS"/>
        </w:rPr>
        <w:t xml:space="preserve">Примена ЕОК инструмента за </w:t>
      </w:r>
      <w:r w:rsidR="009F2D14" w:rsidRPr="009B2CE9">
        <w:rPr>
          <w:rFonts w:eastAsiaTheme="minorHAnsi" w:cs="B Nazanin"/>
          <w:szCs w:val="32"/>
          <w:lang w:val="sr-Cyrl-RS"/>
        </w:rPr>
        <w:t>унапређивање</w:t>
      </w:r>
      <w:r w:rsidRPr="009B2CE9">
        <w:rPr>
          <w:rFonts w:eastAsiaTheme="minorHAnsi" w:cs="B Nazanin"/>
          <w:szCs w:val="32"/>
          <w:lang w:val="sr-Cyrl-RS"/>
        </w:rPr>
        <w:t xml:space="preserve"> процеса признавања у оквиру методологије и процедура рада ЕНИК/НАРИК центра</w:t>
      </w:r>
    </w:p>
    <w:p w14:paraId="0E20B325" w14:textId="204D2AB2" w:rsidR="00C123CB" w:rsidRPr="00884CF0" w:rsidRDefault="009F2D14" w:rsidP="009B2CE9">
      <w:pPr>
        <w:pStyle w:val="basic-paragraph"/>
        <w:numPr>
          <w:ilvl w:val="0"/>
          <w:numId w:val="2"/>
        </w:numPr>
        <w:spacing w:before="0" w:beforeAutospacing="0" w:after="0" w:afterAutospacing="0" w:line="360" w:lineRule="auto"/>
        <w:ind w:left="1276" w:hanging="357"/>
        <w:jc w:val="both"/>
        <w:rPr>
          <w:rStyle w:val="italik"/>
          <w:rFonts w:eastAsiaTheme="majorEastAsia"/>
          <w:lang w:val="sr-Cyrl-RS"/>
        </w:rPr>
      </w:pPr>
      <w:r w:rsidRPr="009B2CE9">
        <w:rPr>
          <w:rFonts w:eastAsiaTheme="minorHAnsi" w:cs="B Nazanin"/>
          <w:szCs w:val="32"/>
          <w:lang w:val="sr-Cyrl-RS"/>
        </w:rPr>
        <w:t>Преведен с</w:t>
      </w:r>
      <w:r w:rsidRPr="00884CF0">
        <w:rPr>
          <w:rStyle w:val="italik"/>
          <w:rFonts w:eastAsiaTheme="majorEastAsia"/>
          <w:lang w:val="sr-Cyrl-RS"/>
        </w:rPr>
        <w:t>адржај регистра НОКС-а на енглески језик и повезан са EUROPASS базом</w:t>
      </w:r>
      <w:r w:rsidR="00225956" w:rsidRPr="00884CF0">
        <w:rPr>
          <w:rStyle w:val="italik"/>
          <w:rFonts w:eastAsiaTheme="majorEastAsia"/>
          <w:lang w:val="sr-Cyrl-RS"/>
        </w:rPr>
        <w:t xml:space="preserve"> образовних могућности</w:t>
      </w:r>
    </w:p>
    <w:p w14:paraId="48FE3BD1" w14:textId="77777777" w:rsidR="009B2CE9" w:rsidRDefault="009B2CE9">
      <w:pPr>
        <w:spacing w:line="240" w:lineRule="auto"/>
        <w:rPr>
          <w:rStyle w:val="italik"/>
          <w:rFonts w:eastAsiaTheme="majorEastAsia"/>
          <w:b/>
          <w:bCs/>
          <w:i/>
          <w:sz w:val="26"/>
          <w:lang w:val="sr-Cyrl-RS"/>
        </w:rPr>
      </w:pPr>
      <w:r>
        <w:rPr>
          <w:rStyle w:val="italik"/>
          <w:lang w:val="sr-Cyrl-RS"/>
        </w:rPr>
        <w:br w:type="page"/>
      </w:r>
    </w:p>
    <w:p w14:paraId="77DD9CE3" w14:textId="5CA1DF3E" w:rsidR="004E597A" w:rsidRPr="00884CF0" w:rsidRDefault="004E597A" w:rsidP="009B2CE9">
      <w:pPr>
        <w:pStyle w:val="Heading3"/>
        <w:rPr>
          <w:rStyle w:val="italik"/>
          <w:lang w:val="sr-Cyrl-RS"/>
        </w:rPr>
      </w:pPr>
      <w:bookmarkStart w:id="14" w:name="_Toc119880826"/>
      <w:r w:rsidRPr="00884CF0">
        <w:rPr>
          <w:rStyle w:val="italik"/>
          <w:lang w:val="sr-Cyrl-RS"/>
        </w:rPr>
        <w:lastRenderedPageBreak/>
        <w:t>Е</w:t>
      </w:r>
      <w:r w:rsidR="00F711AE" w:rsidRPr="00884CF0">
        <w:rPr>
          <w:rStyle w:val="italik"/>
          <w:lang w:val="sr-Cyrl-RS"/>
        </w:rPr>
        <w:t>фикасност</w:t>
      </w:r>
      <w:bookmarkEnd w:id="14"/>
      <w:r w:rsidR="00F711AE" w:rsidRPr="00884CF0">
        <w:rPr>
          <w:rStyle w:val="italik"/>
          <w:lang w:val="sr-Cyrl-RS"/>
        </w:rPr>
        <w:t xml:space="preserve"> </w:t>
      </w:r>
    </w:p>
    <w:p w14:paraId="0AC401A2" w14:textId="2671D336" w:rsidR="00F711AE" w:rsidRPr="00884CF0" w:rsidRDefault="004E597A" w:rsidP="009B2CE9">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 xml:space="preserve">У оквиру процене ефикасности </w:t>
      </w:r>
      <w:r w:rsidR="00F711AE" w:rsidRPr="00884CF0">
        <w:rPr>
          <w:rStyle w:val="italik"/>
          <w:rFonts w:eastAsiaTheme="majorEastAsia"/>
          <w:lang w:val="sr-Cyrl-RS"/>
        </w:rPr>
        <w:t>анализира</w:t>
      </w:r>
      <w:r w:rsidRPr="00884CF0">
        <w:rPr>
          <w:rStyle w:val="italik"/>
          <w:rFonts w:eastAsiaTheme="majorEastAsia"/>
          <w:lang w:val="sr-Cyrl-RS"/>
        </w:rPr>
        <w:t>ће</w:t>
      </w:r>
      <w:r w:rsidR="00F711AE" w:rsidRPr="00884CF0">
        <w:rPr>
          <w:rStyle w:val="italik"/>
          <w:rFonts w:eastAsiaTheme="majorEastAsia"/>
          <w:lang w:val="sr-Cyrl-RS"/>
        </w:rPr>
        <w:t xml:space="preserve"> се сам процес спровођења </w:t>
      </w:r>
      <w:r w:rsidRPr="00884CF0">
        <w:rPr>
          <w:rStyle w:val="italik"/>
          <w:rFonts w:eastAsiaTheme="majorEastAsia"/>
          <w:lang w:val="sr-Cyrl-RS"/>
        </w:rPr>
        <w:t xml:space="preserve">НОКС-а </w:t>
      </w:r>
      <w:r w:rsidR="00F711AE" w:rsidRPr="00884CF0">
        <w:rPr>
          <w:rStyle w:val="italik"/>
          <w:rFonts w:eastAsiaTheme="majorEastAsia"/>
          <w:lang w:val="sr-Cyrl-RS"/>
        </w:rPr>
        <w:t>и колико су ресурси</w:t>
      </w:r>
      <w:r w:rsidRPr="00884CF0">
        <w:rPr>
          <w:rStyle w:val="italik"/>
          <w:rFonts w:eastAsiaTheme="majorEastAsia"/>
          <w:lang w:val="sr-Cyrl-RS"/>
        </w:rPr>
        <w:t xml:space="preserve"> за његово спровођење адекватно</w:t>
      </w:r>
      <w:r w:rsidR="00F711AE" w:rsidRPr="00884CF0">
        <w:rPr>
          <w:rStyle w:val="italik"/>
          <w:rFonts w:eastAsiaTheme="majorEastAsia"/>
          <w:lang w:val="sr-Cyrl-RS"/>
        </w:rPr>
        <w:t xml:space="preserve"> искоришћени</w:t>
      </w:r>
      <w:r w:rsidR="00BC4F37" w:rsidRPr="00884CF0">
        <w:rPr>
          <w:rStyle w:val="italik"/>
          <w:rFonts w:eastAsiaTheme="majorEastAsia"/>
          <w:lang w:val="sr-Cyrl-RS"/>
        </w:rPr>
        <w:t xml:space="preserve"> (људски ресурси, време, финансијски ресурси и материјална добра).</w:t>
      </w:r>
    </w:p>
    <w:p w14:paraId="56E7132D" w14:textId="35DEEE19" w:rsidR="00794160" w:rsidRPr="00884CF0" w:rsidRDefault="00D72BAA" w:rsidP="00D935A8">
      <w:pPr>
        <w:pStyle w:val="basic-paragraph"/>
        <w:spacing w:line="360" w:lineRule="auto"/>
        <w:jc w:val="both"/>
        <w:rPr>
          <w:rStyle w:val="italik"/>
          <w:rFonts w:eastAsiaTheme="majorEastAsia"/>
          <w:lang w:val="sr-Cyrl-RS"/>
        </w:rPr>
      </w:pPr>
      <w:r w:rsidRPr="00884CF0">
        <w:rPr>
          <w:rFonts w:ascii="Calibri" w:eastAsia="Calibri" w:hAnsi="Calibri" w:cs="Arial"/>
          <w:noProof/>
          <w:sz w:val="22"/>
          <w:szCs w:val="22"/>
        </w:rPr>
        <mc:AlternateContent>
          <mc:Choice Requires="wps">
            <w:drawing>
              <wp:inline distT="0" distB="0" distL="0" distR="0" wp14:anchorId="584D1677" wp14:editId="386C14F6">
                <wp:extent cx="5600700" cy="5629275"/>
                <wp:effectExtent l="19050" t="1905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629275"/>
                        </a:xfrm>
                        <a:prstGeom prst="rect">
                          <a:avLst/>
                        </a:prstGeom>
                        <a:solidFill>
                          <a:srgbClr val="FFFFFF"/>
                        </a:solidFill>
                        <a:ln w="38100" cmpd="dbl">
                          <a:solidFill>
                            <a:srgbClr val="4472C4">
                              <a:lumMod val="100000"/>
                              <a:lumOff val="0"/>
                            </a:srgbClr>
                          </a:solidFill>
                          <a:miter lim="800000"/>
                          <a:headEnd/>
                          <a:tailEnd/>
                        </a:ln>
                      </wps:spPr>
                      <wps:txbx>
                        <w:txbxContent>
                          <w:tbl>
                            <w:tblPr>
                              <w:tblStyle w:val="TableGrid3"/>
                              <w:tblW w:w="8505" w:type="dxa"/>
                              <w:tblInd w:w="-3" w:type="dxa"/>
                              <w:tblCellMar>
                                <w:top w:w="113" w:type="dxa"/>
                                <w:bottom w:w="113" w:type="dxa"/>
                              </w:tblCellMar>
                              <w:tblLook w:val="04A0" w:firstRow="1" w:lastRow="0" w:firstColumn="1" w:lastColumn="0" w:noHBand="0" w:noVBand="1"/>
                            </w:tblPr>
                            <w:tblGrid>
                              <w:gridCol w:w="3321"/>
                              <w:gridCol w:w="5184"/>
                            </w:tblGrid>
                            <w:tr w:rsidR="00D72BAA" w:rsidRPr="009B2CE9" w14:paraId="757BD946" w14:textId="77777777" w:rsidTr="009B2CE9">
                              <w:tc>
                                <w:tcPr>
                                  <w:tcW w:w="8505" w:type="dxa"/>
                                  <w:gridSpan w:val="2"/>
                                  <w:tcBorders>
                                    <w:top w:val="single" w:sz="2" w:space="0" w:color="4472C4"/>
                                    <w:left w:val="single" w:sz="2" w:space="0" w:color="4472C4"/>
                                    <w:bottom w:val="single" w:sz="12" w:space="0" w:color="4472C4"/>
                                    <w:right w:val="single" w:sz="12" w:space="0" w:color="4472C4"/>
                                  </w:tcBorders>
                                </w:tcPr>
                                <w:p w14:paraId="2AAACCB4" w14:textId="5DADF0C2" w:rsidR="00D72BAA" w:rsidRPr="009B2CE9" w:rsidRDefault="00D72BAA" w:rsidP="009B2CE9">
                                  <w:pPr>
                                    <w:spacing w:line="312" w:lineRule="auto"/>
                                    <w:rPr>
                                      <w:rFonts w:ascii="Times New Roman" w:hAnsi="Times New Roman" w:cs="Times New Roman"/>
                                      <w:lang w:val="sr-Cyrl-RS"/>
                                    </w:rPr>
                                  </w:pPr>
                                  <w:r w:rsidRPr="009B2CE9">
                                    <w:rPr>
                                      <w:rFonts w:ascii="Times New Roman" w:hAnsi="Times New Roman" w:cs="Times New Roman"/>
                                      <w:lang w:val="sr-Cyrl-RS"/>
                                    </w:rPr>
                                    <w:t>Критеријум 3: ЕФИКАСНОСТ</w:t>
                                  </w:r>
                                </w:p>
                              </w:tc>
                            </w:tr>
                            <w:tr w:rsidR="00D72BAA" w:rsidRPr="009B2CE9" w14:paraId="1FCB1437" w14:textId="77777777" w:rsidTr="009B2CE9">
                              <w:trPr>
                                <w:trHeight w:val="27"/>
                              </w:trPr>
                              <w:tc>
                                <w:tcPr>
                                  <w:tcW w:w="3321" w:type="dxa"/>
                                  <w:tcBorders>
                                    <w:top w:val="single" w:sz="12" w:space="0" w:color="4472C4"/>
                                    <w:left w:val="nil"/>
                                    <w:bottom w:val="single" w:sz="4" w:space="0" w:color="4472C4"/>
                                    <w:right w:val="nil"/>
                                  </w:tcBorders>
                                  <w:tcMar>
                                    <w:top w:w="57" w:type="dxa"/>
                                    <w:bottom w:w="57" w:type="dxa"/>
                                  </w:tcMar>
                                </w:tcPr>
                                <w:p w14:paraId="2B4B4200" w14:textId="77777777" w:rsidR="00D72BAA" w:rsidRPr="009B2CE9" w:rsidRDefault="00D72BAA" w:rsidP="009B2CE9">
                                  <w:pPr>
                                    <w:spacing w:line="312" w:lineRule="auto"/>
                                    <w:rPr>
                                      <w:rFonts w:ascii="Times New Roman" w:hAnsi="Times New Roman" w:cs="Times New Roman"/>
                                      <w:sz w:val="8"/>
                                      <w:szCs w:val="8"/>
                                    </w:rPr>
                                  </w:pPr>
                                </w:p>
                              </w:tc>
                              <w:tc>
                                <w:tcPr>
                                  <w:tcW w:w="5184" w:type="dxa"/>
                                  <w:tcBorders>
                                    <w:top w:val="single" w:sz="12" w:space="0" w:color="4472C4"/>
                                    <w:left w:val="nil"/>
                                    <w:bottom w:val="single" w:sz="4" w:space="0" w:color="4472C4"/>
                                    <w:right w:val="nil"/>
                                  </w:tcBorders>
                                  <w:tcMar>
                                    <w:top w:w="57" w:type="dxa"/>
                                    <w:bottom w:w="57" w:type="dxa"/>
                                  </w:tcMar>
                                </w:tcPr>
                                <w:p w14:paraId="012FBF50" w14:textId="77777777" w:rsidR="00D72BAA" w:rsidRPr="009B2CE9" w:rsidRDefault="00D72BAA" w:rsidP="009B2CE9">
                                  <w:pPr>
                                    <w:spacing w:line="312" w:lineRule="auto"/>
                                    <w:rPr>
                                      <w:rFonts w:ascii="Times New Roman" w:hAnsi="Times New Roman" w:cs="Times New Roman"/>
                                      <w:sz w:val="8"/>
                                      <w:szCs w:val="8"/>
                                    </w:rPr>
                                  </w:pPr>
                                </w:p>
                              </w:tc>
                            </w:tr>
                            <w:tr w:rsidR="00D72BAA" w:rsidRPr="004D7EA5" w14:paraId="4E8E7B3B" w14:textId="77777777" w:rsidTr="009B2CE9">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41E82B2B" w14:textId="77777777" w:rsidR="00D72BAA" w:rsidRPr="009B2CE9" w:rsidRDefault="00D72BAA"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Колико су ресурси доступни и у којој мери су коришћени за достизање резултата НОКС-а?</w:t>
                                  </w:r>
                                </w:p>
                                <w:p w14:paraId="0A3D2330" w14:textId="77777777" w:rsidR="000548DC" w:rsidRPr="009B2CE9" w:rsidRDefault="000548DC" w:rsidP="009B2CE9">
                                  <w:pPr>
                                    <w:spacing w:line="360" w:lineRule="auto"/>
                                    <w:rPr>
                                      <w:rFonts w:ascii="Times New Roman" w:hAnsi="Times New Roman" w:cs="Times New Roman"/>
                                    </w:rPr>
                                  </w:pPr>
                                </w:p>
                                <w:p w14:paraId="321E85E3" w14:textId="77777777" w:rsidR="000548DC" w:rsidRPr="009B2CE9" w:rsidRDefault="000548DC" w:rsidP="009B2CE9">
                                  <w:pPr>
                                    <w:spacing w:line="360" w:lineRule="auto"/>
                                    <w:rPr>
                                      <w:rFonts w:ascii="Times New Roman" w:hAnsi="Times New Roman" w:cs="Times New Roman"/>
                                    </w:rPr>
                                  </w:pPr>
                                </w:p>
                                <w:p w14:paraId="4CD345A4" w14:textId="182ED849" w:rsidR="000548DC" w:rsidRPr="009B2CE9" w:rsidRDefault="000548DC"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 xml:space="preserve">Да ли су одабране стратегије управљања допринеле ефикасном </w:t>
                                  </w:r>
                                  <w:r w:rsidR="00A75EC1" w:rsidRPr="009B2CE9">
                                    <w:rPr>
                                      <w:rFonts w:ascii="Times New Roman" w:hAnsi="Times New Roman" w:cs="Times New Roman"/>
                                      <w:lang w:val="sr-Cyrl-RS"/>
                                    </w:rPr>
                                    <w:t>спровођењу НОКС-а</w:t>
                                  </w:r>
                                  <w:r w:rsidRPr="009B2CE9">
                                    <w:rPr>
                                      <w:rFonts w:ascii="Times New Roman" w:hAnsi="Times New Roman" w:cs="Times New Roman"/>
                                      <w:lang w:val="sr-Cyrl-RS"/>
                                    </w:rPr>
                                    <w:t>?</w:t>
                                  </w:r>
                                </w:p>
                              </w:tc>
                              <w:tc>
                                <w:tcPr>
                                  <w:tcW w:w="5184" w:type="dxa"/>
                                  <w:tcBorders>
                                    <w:top w:val="single" w:sz="4" w:space="0" w:color="4472C4"/>
                                    <w:left w:val="single" w:sz="2" w:space="0" w:color="000000"/>
                                    <w:bottom w:val="single" w:sz="2" w:space="0" w:color="000000"/>
                                    <w:right w:val="single" w:sz="12" w:space="0" w:color="4472C4"/>
                                  </w:tcBorders>
                                </w:tcPr>
                                <w:p w14:paraId="60238ABE" w14:textId="600DC82C" w:rsidR="00D72BAA" w:rsidRPr="009B2CE9" w:rsidRDefault="00E03637"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 </w:t>
                                  </w:r>
                                  <w:r w:rsidR="00D72BAA" w:rsidRPr="009B2CE9">
                                    <w:rPr>
                                      <w:rStyle w:val="italik"/>
                                      <w:rFonts w:ascii="Times New Roman" w:eastAsiaTheme="majorEastAsia" w:hAnsi="Times New Roman"/>
                                      <w:lang w:val="sr-Cyrl-RS"/>
                                    </w:rPr>
                                    <w:t>Да ли су</w:t>
                                  </w:r>
                                  <w:r w:rsidRPr="009B2CE9">
                                    <w:rPr>
                                      <w:rStyle w:val="italik"/>
                                      <w:rFonts w:ascii="Times New Roman" w:eastAsiaTheme="majorEastAsia" w:hAnsi="Times New Roman"/>
                                      <w:lang w:val="sr-Cyrl-RS"/>
                                    </w:rPr>
                                    <w:t xml:space="preserve"> ангажовани ресурси (</w:t>
                                  </w:r>
                                  <w:r w:rsidR="009B2CE9" w:rsidRPr="009B2CE9">
                                    <w:rPr>
                                      <w:rStyle w:val="italik"/>
                                      <w:rFonts w:ascii="Times New Roman" w:eastAsiaTheme="majorEastAsia" w:hAnsi="Times New Roman"/>
                                      <w:lang w:val="sr-Cyrl-RS"/>
                                    </w:rPr>
                                    <w:t>финансијски</w:t>
                                  </w:r>
                                  <w:r w:rsidRPr="009B2CE9">
                                    <w:rPr>
                                      <w:rStyle w:val="italik"/>
                                      <w:rFonts w:ascii="Times New Roman" w:eastAsiaTheme="majorEastAsia" w:hAnsi="Times New Roman"/>
                                      <w:lang w:val="sr-Cyrl-RS"/>
                                    </w:rPr>
                                    <w:t xml:space="preserve">, људски, техничка подршка </w:t>
                                  </w:r>
                                  <w:r w:rsidR="009B2CE9" w:rsidRPr="009B2CE9">
                                    <w:rPr>
                                      <w:rStyle w:val="italik"/>
                                      <w:rFonts w:ascii="Times New Roman" w:eastAsiaTheme="majorEastAsia" w:hAnsi="Times New Roman"/>
                                      <w:lang w:val="sr-Cyrl-RS"/>
                                    </w:rPr>
                                    <w:t>итд.</w:t>
                                  </w:r>
                                  <w:r w:rsidRPr="009B2CE9">
                                    <w:rPr>
                                      <w:rStyle w:val="italik"/>
                                      <w:rFonts w:ascii="Times New Roman" w:eastAsiaTheme="majorEastAsia" w:hAnsi="Times New Roman"/>
                                      <w:lang w:val="sr-Cyrl-RS"/>
                                    </w:rPr>
                                    <w:t xml:space="preserve">) били довољни и адекватно стратешки распоређени </w:t>
                                  </w:r>
                                  <w:r w:rsidR="008819E5" w:rsidRPr="009B2CE9">
                                    <w:rPr>
                                      <w:rStyle w:val="italik"/>
                                      <w:rFonts w:ascii="Times New Roman" w:eastAsiaTheme="majorEastAsia" w:hAnsi="Times New Roman"/>
                                      <w:lang w:val="sr-Cyrl-RS"/>
                                    </w:rPr>
                                    <w:t>за достизање резултата НОКС-а</w:t>
                                  </w:r>
                                  <w:r w:rsidRPr="009B2CE9">
                                    <w:rPr>
                                      <w:rStyle w:val="italik"/>
                                      <w:rFonts w:ascii="Times New Roman" w:eastAsiaTheme="majorEastAsia" w:hAnsi="Times New Roman"/>
                                      <w:lang w:val="sr-Cyrl-RS"/>
                                    </w:rPr>
                                    <w:t>?</w:t>
                                  </w:r>
                                </w:p>
                              </w:tc>
                            </w:tr>
                            <w:tr w:rsidR="00D72BAA" w:rsidRPr="004D7EA5" w14:paraId="70BFCD26" w14:textId="77777777" w:rsidTr="009B2CE9">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4B1A68F7"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F39A019" w14:textId="5FC44BFB" w:rsidR="00D72BAA" w:rsidRPr="009B2CE9" w:rsidRDefault="008819E5"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Fonts w:ascii="Times New Roman" w:hAnsi="Times New Roman"/>
                                      <w:lang w:val="sr-Cyrl-RS"/>
                                    </w:rPr>
                                    <w:t xml:space="preserve">Да ли су </w:t>
                                  </w:r>
                                  <w:r w:rsidRPr="009B2CE9">
                                    <w:rPr>
                                      <w:rStyle w:val="italik"/>
                                      <w:rFonts w:ascii="Times New Roman" w:eastAsiaTheme="majorEastAsia" w:hAnsi="Times New Roman"/>
                                      <w:lang w:val="sr-Cyrl-RS"/>
                                    </w:rPr>
                                    <w:t>активности спроведене према плану и на време. Уколико нису који су разлози за то?</w:t>
                                  </w:r>
                                </w:p>
                              </w:tc>
                            </w:tr>
                            <w:tr w:rsidR="002D37E2" w:rsidRPr="004D7EA5" w14:paraId="1E4109D7"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81F4CB7" w14:textId="77777777" w:rsidR="002D37E2" w:rsidRPr="009B2CE9" w:rsidRDefault="002D37E2"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33CEC3F9" w14:textId="765BA93E" w:rsidR="002D37E2" w:rsidRPr="009B2CE9" w:rsidRDefault="002D37E2" w:rsidP="009B2CE9">
                                  <w:pPr>
                                    <w:pStyle w:val="basic-paragraph"/>
                                    <w:numPr>
                                      <w:ilvl w:val="1"/>
                                      <w:numId w:val="10"/>
                                    </w:numPr>
                                    <w:spacing w:before="0" w:beforeAutospacing="0" w:after="0" w:afterAutospacing="0" w:line="312" w:lineRule="auto"/>
                                    <w:jc w:val="both"/>
                                    <w:rPr>
                                      <w:rFonts w:ascii="Times New Roman" w:hAnsi="Times New Roman"/>
                                      <w:lang w:val="sr-Cyrl-RS"/>
                                    </w:rPr>
                                  </w:pPr>
                                  <w:r w:rsidRPr="009B2CE9">
                                    <w:rPr>
                                      <w:rStyle w:val="italik"/>
                                      <w:rFonts w:ascii="Times New Roman" w:eastAsiaTheme="majorEastAsia" w:hAnsi="Times New Roman"/>
                                      <w:lang w:val="sr-Cyrl-RS"/>
                                    </w:rPr>
                                    <w:t>Колико су партнерства допринела ефикасном спровођењу политике НОКС-а?</w:t>
                                  </w:r>
                                </w:p>
                              </w:tc>
                            </w:tr>
                            <w:tr w:rsidR="00D72BAA" w:rsidRPr="004D7EA5" w14:paraId="4764CEF5"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92E247E"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A3AA8A6" w14:textId="1508A9A1" w:rsidR="00D72BAA" w:rsidRPr="009B2CE9" w:rsidRDefault="008819E5"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Да ли је </w:t>
                                  </w:r>
                                  <w:r w:rsidR="009B2CE9" w:rsidRPr="009B2CE9">
                                    <w:rPr>
                                      <w:rStyle w:val="italik"/>
                                      <w:rFonts w:ascii="Times New Roman" w:eastAsiaTheme="majorEastAsia" w:hAnsi="Times New Roman"/>
                                      <w:lang w:val="sr-Cyrl-RS"/>
                                    </w:rPr>
                                    <w:t>успостављен</w:t>
                                  </w:r>
                                  <w:r w:rsidR="002D37E2" w:rsidRPr="009B2CE9">
                                    <w:rPr>
                                      <w:rStyle w:val="italik"/>
                                      <w:rFonts w:ascii="Times New Roman" w:eastAsiaTheme="majorEastAsia" w:hAnsi="Times New Roman"/>
                                      <w:lang w:val="sr-Cyrl-RS"/>
                                    </w:rPr>
                                    <w:t xml:space="preserve"> адекватан и ефикасан </w:t>
                                  </w:r>
                                  <w:r w:rsidRPr="009B2CE9">
                                    <w:rPr>
                                      <w:rStyle w:val="italik"/>
                                      <w:rFonts w:ascii="Times New Roman" w:eastAsiaTheme="majorEastAsia" w:hAnsi="Times New Roman"/>
                                      <w:lang w:val="sr-Cyrl-RS"/>
                                    </w:rPr>
                                    <w:t>систем координације и праћења спровођења НОКС-а?</w:t>
                                  </w:r>
                                </w:p>
                              </w:tc>
                            </w:tr>
                            <w:tr w:rsidR="00D72BAA" w:rsidRPr="004D7EA5" w14:paraId="674A80FF"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1646101"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02EA083B" w14:textId="33AAAAAC" w:rsidR="00D72BAA" w:rsidRPr="009B2CE9" w:rsidRDefault="00A75EC1"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Да ли је успостављен адекватан систем мониторинга спровођења НОКС-а? Да ли се </w:t>
                                  </w:r>
                                  <w:r w:rsidR="002D37E2" w:rsidRPr="009B2CE9">
                                    <w:rPr>
                                      <w:rStyle w:val="italik"/>
                                      <w:rFonts w:ascii="Times New Roman" w:eastAsiaTheme="majorEastAsia" w:hAnsi="Times New Roman"/>
                                      <w:lang w:val="sr-Cyrl-RS"/>
                                    </w:rPr>
                                    <w:t>редовно прати употреба ресурса како би се осигурала исплатива имплементација НОКС-а?</w:t>
                                  </w:r>
                                  <w:r w:rsidR="005F62A7" w:rsidRPr="009B2CE9">
                                    <w:rPr>
                                      <w:rStyle w:val="italik"/>
                                      <w:rFonts w:ascii="Times New Roman" w:eastAsiaTheme="majorEastAsia" w:hAnsi="Times New Roman"/>
                                      <w:lang w:val="sr-Cyrl-RS"/>
                                    </w:rPr>
                                    <w:t xml:space="preserve"> Да ли </w:t>
                                  </w:r>
                                  <w:r w:rsidR="00CC3C03" w:rsidRPr="009B2CE9">
                                    <w:rPr>
                                      <w:rStyle w:val="italik"/>
                                      <w:rFonts w:ascii="Times New Roman" w:eastAsiaTheme="majorEastAsia" w:hAnsi="Times New Roman"/>
                                      <w:lang w:val="sr-Cyrl-RS"/>
                                    </w:rPr>
                                    <w:t xml:space="preserve">је спровођење </w:t>
                                  </w:r>
                                  <w:r w:rsidR="005F62A7" w:rsidRPr="009B2CE9">
                                    <w:rPr>
                                      <w:rStyle w:val="italik"/>
                                      <w:rFonts w:ascii="Times New Roman" w:eastAsiaTheme="majorEastAsia" w:hAnsi="Times New Roman"/>
                                      <w:lang w:val="sr-Cyrl-RS"/>
                                    </w:rPr>
                                    <w:t>активности адекватно праћен</w:t>
                                  </w:r>
                                  <w:r w:rsidR="00CC3C03" w:rsidRPr="009B2CE9">
                                    <w:rPr>
                                      <w:rStyle w:val="italik"/>
                                      <w:rFonts w:ascii="Times New Roman" w:eastAsiaTheme="majorEastAsia" w:hAnsi="Times New Roman"/>
                                      <w:lang w:val="sr-Cyrl-RS"/>
                                    </w:rPr>
                                    <w:t xml:space="preserve">о </w:t>
                                  </w:r>
                                  <w:r w:rsidR="005F62A7" w:rsidRPr="009B2CE9">
                                    <w:rPr>
                                      <w:rStyle w:val="italik"/>
                                      <w:rFonts w:ascii="Times New Roman" w:eastAsiaTheme="majorEastAsia" w:hAnsi="Times New Roman"/>
                                      <w:lang w:val="sr-Cyrl-RS"/>
                                    </w:rPr>
                                    <w:t>од стране менаџмента?</w:t>
                                  </w:r>
                                </w:p>
                              </w:tc>
                            </w:tr>
                            <w:tr w:rsidR="00D72BAA" w:rsidRPr="004D7EA5" w14:paraId="2E44DE21"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30439981"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2C64B372" w14:textId="23388F9A" w:rsidR="00D72BAA" w:rsidRPr="009B2CE9" w:rsidRDefault="00746E82" w:rsidP="009B2CE9">
                                  <w:pPr>
                                    <w:pStyle w:val="basic-paragraph"/>
                                    <w:numPr>
                                      <w:ilvl w:val="1"/>
                                      <w:numId w:val="10"/>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Да ли је ус</w:t>
                                  </w:r>
                                  <w:r w:rsidR="002D37E2" w:rsidRPr="009B2CE9">
                                    <w:rPr>
                                      <w:rFonts w:ascii="Times New Roman" w:hAnsi="Times New Roman"/>
                                      <w:lang w:val="sr-Cyrl-RS"/>
                                    </w:rPr>
                                    <w:t>постављен систем транспарентног финансијског извештавања?</w:t>
                                  </w:r>
                                </w:p>
                              </w:tc>
                            </w:tr>
                          </w:tbl>
                          <w:p w14:paraId="58416D46" w14:textId="77777777" w:rsidR="00D72BAA" w:rsidRPr="009B2CE9" w:rsidRDefault="00D72BAA" w:rsidP="00D72BAA">
                            <w:pPr>
                              <w:rPr>
                                <w:rFonts w:cs="Times New Roman"/>
                                <w:sz w:val="8"/>
                                <w:szCs w:val="8"/>
                                <w:lang w:val="sr-Cyrl-RS"/>
                              </w:rPr>
                            </w:pPr>
                          </w:p>
                        </w:txbxContent>
                      </wps:txbx>
                      <wps:bodyPr rot="0" vert="horz" wrap="square" lIns="91440" tIns="90000" rIns="180000" bIns="36000" anchor="t" anchorCtr="0" upright="1">
                        <a:noAutofit/>
                      </wps:bodyPr>
                    </wps:wsp>
                  </a:graphicData>
                </a:graphic>
              </wp:inline>
            </w:drawing>
          </mc:Choice>
          <mc:Fallback>
            <w:pict>
              <v:shape w14:anchorId="584D1677" id="_x0000_s1028" type="#_x0000_t202" style="width:441pt;height:4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" strokecolor="#4472c4" strokeweight="3pt">
                <v:stroke linestyle="thinThin"/>
                <v:textbox inset=",2.5mm,5mm,1mm">
                  <w:txbxContent>
                    <w:tbl>
                      <w:tblPr>
                        <w:tblStyle w:val="TableGrid3"/>
                        <w:tblW w:w="8505" w:type="dxa"/>
                        <w:tblInd w:w="-3" w:type="dxa"/>
                        <w:tblCellMar>
                          <w:top w:w="113" w:type="dxa"/>
                          <w:bottom w:w="113" w:type="dxa"/>
                        </w:tblCellMar>
                        <w:tblLook w:val="04A0" w:firstRow="1" w:lastRow="0" w:firstColumn="1" w:lastColumn="0" w:noHBand="0" w:noVBand="1"/>
                      </w:tblPr>
                      <w:tblGrid>
                        <w:gridCol w:w="3321"/>
                        <w:gridCol w:w="5184"/>
                      </w:tblGrid>
                      <w:tr w:rsidR="00D72BAA" w:rsidRPr="009B2CE9" w14:paraId="757BD946" w14:textId="77777777" w:rsidTr="009B2CE9">
                        <w:tc>
                          <w:tcPr>
                            <w:tcW w:w="8505" w:type="dxa"/>
                            <w:gridSpan w:val="2"/>
                            <w:tcBorders>
                              <w:top w:val="single" w:sz="2" w:space="0" w:color="4472C4"/>
                              <w:left w:val="single" w:sz="2" w:space="0" w:color="4472C4"/>
                              <w:bottom w:val="single" w:sz="12" w:space="0" w:color="4472C4"/>
                              <w:right w:val="single" w:sz="12" w:space="0" w:color="4472C4"/>
                            </w:tcBorders>
                          </w:tcPr>
                          <w:p w14:paraId="2AAACCB4" w14:textId="5DADF0C2" w:rsidR="00D72BAA" w:rsidRPr="009B2CE9" w:rsidRDefault="00D72BAA" w:rsidP="009B2CE9">
                            <w:pPr>
                              <w:spacing w:line="312" w:lineRule="auto"/>
                              <w:rPr>
                                <w:rFonts w:ascii="Times New Roman" w:hAnsi="Times New Roman" w:cs="Times New Roman"/>
                                <w:lang w:val="sr-Cyrl-RS"/>
                              </w:rPr>
                            </w:pPr>
                            <w:r w:rsidRPr="009B2CE9">
                              <w:rPr>
                                <w:rFonts w:ascii="Times New Roman" w:hAnsi="Times New Roman" w:cs="Times New Roman"/>
                                <w:lang w:val="sr-Cyrl-RS"/>
                              </w:rPr>
                              <w:t>Критеријум 3: ЕФИКАСНОСТ</w:t>
                            </w:r>
                          </w:p>
                        </w:tc>
                      </w:tr>
                      <w:tr w:rsidR="00D72BAA" w:rsidRPr="009B2CE9" w14:paraId="1FCB1437" w14:textId="77777777" w:rsidTr="009B2CE9">
                        <w:trPr>
                          <w:trHeight w:val="27"/>
                        </w:trPr>
                        <w:tc>
                          <w:tcPr>
                            <w:tcW w:w="3321" w:type="dxa"/>
                            <w:tcBorders>
                              <w:top w:val="single" w:sz="12" w:space="0" w:color="4472C4"/>
                              <w:left w:val="nil"/>
                              <w:bottom w:val="single" w:sz="4" w:space="0" w:color="4472C4"/>
                              <w:right w:val="nil"/>
                            </w:tcBorders>
                            <w:tcMar>
                              <w:top w:w="57" w:type="dxa"/>
                              <w:bottom w:w="57" w:type="dxa"/>
                            </w:tcMar>
                          </w:tcPr>
                          <w:p w14:paraId="2B4B4200" w14:textId="77777777" w:rsidR="00D72BAA" w:rsidRPr="009B2CE9" w:rsidRDefault="00D72BAA" w:rsidP="009B2CE9">
                            <w:pPr>
                              <w:spacing w:line="312" w:lineRule="auto"/>
                              <w:rPr>
                                <w:rFonts w:ascii="Times New Roman" w:hAnsi="Times New Roman" w:cs="Times New Roman"/>
                                <w:sz w:val="8"/>
                                <w:szCs w:val="8"/>
                              </w:rPr>
                            </w:pPr>
                          </w:p>
                        </w:tc>
                        <w:tc>
                          <w:tcPr>
                            <w:tcW w:w="5184" w:type="dxa"/>
                            <w:tcBorders>
                              <w:top w:val="single" w:sz="12" w:space="0" w:color="4472C4"/>
                              <w:left w:val="nil"/>
                              <w:bottom w:val="single" w:sz="4" w:space="0" w:color="4472C4"/>
                              <w:right w:val="nil"/>
                            </w:tcBorders>
                            <w:tcMar>
                              <w:top w:w="57" w:type="dxa"/>
                              <w:bottom w:w="57" w:type="dxa"/>
                            </w:tcMar>
                          </w:tcPr>
                          <w:p w14:paraId="012FBF50" w14:textId="77777777" w:rsidR="00D72BAA" w:rsidRPr="009B2CE9" w:rsidRDefault="00D72BAA" w:rsidP="009B2CE9">
                            <w:pPr>
                              <w:spacing w:line="312" w:lineRule="auto"/>
                              <w:rPr>
                                <w:rFonts w:ascii="Times New Roman" w:hAnsi="Times New Roman" w:cs="Times New Roman"/>
                                <w:sz w:val="8"/>
                                <w:szCs w:val="8"/>
                              </w:rPr>
                            </w:pPr>
                          </w:p>
                        </w:tc>
                      </w:tr>
                      <w:tr w:rsidR="00D72BAA" w:rsidRPr="004D7EA5" w14:paraId="4E8E7B3B" w14:textId="77777777" w:rsidTr="009B2CE9">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41E82B2B" w14:textId="77777777" w:rsidR="00D72BAA" w:rsidRPr="009B2CE9" w:rsidRDefault="00D72BAA"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Колико су ресурси доступни и у којој мери су коришћени за достизање резултата НОКС-а?</w:t>
                            </w:r>
                          </w:p>
                          <w:p w14:paraId="0A3D2330" w14:textId="77777777" w:rsidR="000548DC" w:rsidRPr="009B2CE9" w:rsidRDefault="000548DC" w:rsidP="009B2CE9">
                            <w:pPr>
                              <w:spacing w:line="360" w:lineRule="auto"/>
                              <w:rPr>
                                <w:rFonts w:ascii="Times New Roman" w:hAnsi="Times New Roman" w:cs="Times New Roman"/>
                              </w:rPr>
                            </w:pPr>
                          </w:p>
                          <w:p w14:paraId="321E85E3" w14:textId="77777777" w:rsidR="000548DC" w:rsidRPr="009B2CE9" w:rsidRDefault="000548DC" w:rsidP="009B2CE9">
                            <w:pPr>
                              <w:spacing w:line="360" w:lineRule="auto"/>
                              <w:rPr>
                                <w:rFonts w:ascii="Times New Roman" w:hAnsi="Times New Roman" w:cs="Times New Roman"/>
                              </w:rPr>
                            </w:pPr>
                          </w:p>
                          <w:p w14:paraId="4CD345A4" w14:textId="182ED849" w:rsidR="000548DC" w:rsidRPr="009B2CE9" w:rsidRDefault="000548DC"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 xml:space="preserve">Да ли су одабране стратегије управљања допринеле ефикасном </w:t>
                            </w:r>
                            <w:r w:rsidR="00A75EC1" w:rsidRPr="009B2CE9">
                              <w:rPr>
                                <w:rFonts w:ascii="Times New Roman" w:hAnsi="Times New Roman" w:cs="Times New Roman"/>
                                <w:lang w:val="sr-Cyrl-RS"/>
                              </w:rPr>
                              <w:t>спровођењу НОКС-а</w:t>
                            </w:r>
                            <w:r w:rsidRPr="009B2CE9">
                              <w:rPr>
                                <w:rFonts w:ascii="Times New Roman" w:hAnsi="Times New Roman" w:cs="Times New Roman"/>
                                <w:lang w:val="sr-Cyrl-RS"/>
                              </w:rPr>
                              <w:t>?</w:t>
                            </w:r>
                          </w:p>
                        </w:tc>
                        <w:tc>
                          <w:tcPr>
                            <w:tcW w:w="5184" w:type="dxa"/>
                            <w:tcBorders>
                              <w:top w:val="single" w:sz="4" w:space="0" w:color="4472C4"/>
                              <w:left w:val="single" w:sz="2" w:space="0" w:color="000000"/>
                              <w:bottom w:val="single" w:sz="2" w:space="0" w:color="000000"/>
                              <w:right w:val="single" w:sz="12" w:space="0" w:color="4472C4"/>
                            </w:tcBorders>
                          </w:tcPr>
                          <w:p w14:paraId="60238ABE" w14:textId="600DC82C" w:rsidR="00D72BAA" w:rsidRPr="009B2CE9" w:rsidRDefault="00E03637"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 </w:t>
                            </w:r>
                            <w:r w:rsidR="00D72BAA" w:rsidRPr="009B2CE9">
                              <w:rPr>
                                <w:rStyle w:val="italik"/>
                                <w:rFonts w:ascii="Times New Roman" w:eastAsiaTheme="majorEastAsia" w:hAnsi="Times New Roman"/>
                                <w:lang w:val="sr-Cyrl-RS"/>
                              </w:rPr>
                              <w:t>Да ли су</w:t>
                            </w:r>
                            <w:r w:rsidRPr="009B2CE9">
                              <w:rPr>
                                <w:rStyle w:val="italik"/>
                                <w:rFonts w:ascii="Times New Roman" w:eastAsiaTheme="majorEastAsia" w:hAnsi="Times New Roman"/>
                                <w:lang w:val="sr-Cyrl-RS"/>
                              </w:rPr>
                              <w:t xml:space="preserve"> ангажовани ресурси (</w:t>
                            </w:r>
                            <w:r w:rsidR="009B2CE9" w:rsidRPr="009B2CE9">
                              <w:rPr>
                                <w:rStyle w:val="italik"/>
                                <w:rFonts w:ascii="Times New Roman" w:eastAsiaTheme="majorEastAsia" w:hAnsi="Times New Roman"/>
                                <w:lang w:val="sr-Cyrl-RS"/>
                              </w:rPr>
                              <w:t>финансијски</w:t>
                            </w:r>
                            <w:r w:rsidRPr="009B2CE9">
                              <w:rPr>
                                <w:rStyle w:val="italik"/>
                                <w:rFonts w:ascii="Times New Roman" w:eastAsiaTheme="majorEastAsia" w:hAnsi="Times New Roman"/>
                                <w:lang w:val="sr-Cyrl-RS"/>
                              </w:rPr>
                              <w:t xml:space="preserve">, људски, техничка подршка </w:t>
                            </w:r>
                            <w:r w:rsidR="009B2CE9" w:rsidRPr="009B2CE9">
                              <w:rPr>
                                <w:rStyle w:val="italik"/>
                                <w:rFonts w:ascii="Times New Roman" w:eastAsiaTheme="majorEastAsia" w:hAnsi="Times New Roman"/>
                                <w:lang w:val="sr-Cyrl-RS"/>
                              </w:rPr>
                              <w:t>итд.</w:t>
                            </w:r>
                            <w:r w:rsidRPr="009B2CE9">
                              <w:rPr>
                                <w:rStyle w:val="italik"/>
                                <w:rFonts w:ascii="Times New Roman" w:eastAsiaTheme="majorEastAsia" w:hAnsi="Times New Roman"/>
                                <w:lang w:val="sr-Cyrl-RS"/>
                              </w:rPr>
                              <w:t xml:space="preserve">) били довољни и адекватно стратешки распоређени </w:t>
                            </w:r>
                            <w:r w:rsidR="008819E5" w:rsidRPr="009B2CE9">
                              <w:rPr>
                                <w:rStyle w:val="italik"/>
                                <w:rFonts w:ascii="Times New Roman" w:eastAsiaTheme="majorEastAsia" w:hAnsi="Times New Roman"/>
                                <w:lang w:val="sr-Cyrl-RS"/>
                              </w:rPr>
                              <w:t>за достизање резултата НОКС-а</w:t>
                            </w:r>
                            <w:r w:rsidRPr="009B2CE9">
                              <w:rPr>
                                <w:rStyle w:val="italik"/>
                                <w:rFonts w:ascii="Times New Roman" w:eastAsiaTheme="majorEastAsia" w:hAnsi="Times New Roman"/>
                                <w:lang w:val="sr-Cyrl-RS"/>
                              </w:rPr>
                              <w:t>?</w:t>
                            </w:r>
                          </w:p>
                        </w:tc>
                      </w:tr>
                      <w:tr w:rsidR="00D72BAA" w:rsidRPr="004D7EA5" w14:paraId="70BFCD26" w14:textId="77777777" w:rsidTr="009B2CE9">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4B1A68F7"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F39A019" w14:textId="5FC44BFB" w:rsidR="00D72BAA" w:rsidRPr="009B2CE9" w:rsidRDefault="008819E5"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Fonts w:ascii="Times New Roman" w:hAnsi="Times New Roman"/>
                                <w:lang w:val="sr-Cyrl-RS"/>
                              </w:rPr>
                              <w:t xml:space="preserve">Да ли су </w:t>
                            </w:r>
                            <w:r w:rsidRPr="009B2CE9">
                              <w:rPr>
                                <w:rStyle w:val="italik"/>
                                <w:rFonts w:ascii="Times New Roman" w:eastAsiaTheme="majorEastAsia" w:hAnsi="Times New Roman"/>
                                <w:lang w:val="sr-Cyrl-RS"/>
                              </w:rPr>
                              <w:t>активности спроведене према плану и на време. Уколико нису који су разлози за то?</w:t>
                            </w:r>
                          </w:p>
                        </w:tc>
                      </w:tr>
                      <w:tr w:rsidR="002D37E2" w:rsidRPr="004D7EA5" w14:paraId="1E4109D7"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81F4CB7" w14:textId="77777777" w:rsidR="002D37E2" w:rsidRPr="009B2CE9" w:rsidRDefault="002D37E2"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33CEC3F9" w14:textId="765BA93E" w:rsidR="002D37E2" w:rsidRPr="009B2CE9" w:rsidRDefault="002D37E2" w:rsidP="009B2CE9">
                            <w:pPr>
                              <w:pStyle w:val="basic-paragraph"/>
                              <w:numPr>
                                <w:ilvl w:val="1"/>
                                <w:numId w:val="10"/>
                              </w:numPr>
                              <w:spacing w:before="0" w:beforeAutospacing="0" w:after="0" w:afterAutospacing="0" w:line="312" w:lineRule="auto"/>
                              <w:jc w:val="both"/>
                              <w:rPr>
                                <w:rFonts w:ascii="Times New Roman" w:hAnsi="Times New Roman"/>
                                <w:lang w:val="sr-Cyrl-RS"/>
                              </w:rPr>
                            </w:pPr>
                            <w:r w:rsidRPr="009B2CE9">
                              <w:rPr>
                                <w:rStyle w:val="italik"/>
                                <w:rFonts w:ascii="Times New Roman" w:eastAsiaTheme="majorEastAsia" w:hAnsi="Times New Roman"/>
                                <w:lang w:val="sr-Cyrl-RS"/>
                              </w:rPr>
                              <w:t>Колико су партнерства допринела ефикасном спровођењу политике НОКС-а?</w:t>
                            </w:r>
                          </w:p>
                        </w:tc>
                      </w:tr>
                      <w:tr w:rsidR="00D72BAA" w:rsidRPr="004D7EA5" w14:paraId="4764CEF5"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92E247E"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A3AA8A6" w14:textId="1508A9A1" w:rsidR="00D72BAA" w:rsidRPr="009B2CE9" w:rsidRDefault="008819E5"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Да ли је </w:t>
                            </w:r>
                            <w:r w:rsidR="009B2CE9" w:rsidRPr="009B2CE9">
                              <w:rPr>
                                <w:rStyle w:val="italik"/>
                                <w:rFonts w:ascii="Times New Roman" w:eastAsiaTheme="majorEastAsia" w:hAnsi="Times New Roman"/>
                                <w:lang w:val="sr-Cyrl-RS"/>
                              </w:rPr>
                              <w:t>успостављен</w:t>
                            </w:r>
                            <w:r w:rsidR="002D37E2" w:rsidRPr="009B2CE9">
                              <w:rPr>
                                <w:rStyle w:val="italik"/>
                                <w:rFonts w:ascii="Times New Roman" w:eastAsiaTheme="majorEastAsia" w:hAnsi="Times New Roman"/>
                                <w:lang w:val="sr-Cyrl-RS"/>
                              </w:rPr>
                              <w:t xml:space="preserve"> адекватан и ефикасан </w:t>
                            </w:r>
                            <w:r w:rsidRPr="009B2CE9">
                              <w:rPr>
                                <w:rStyle w:val="italik"/>
                                <w:rFonts w:ascii="Times New Roman" w:eastAsiaTheme="majorEastAsia" w:hAnsi="Times New Roman"/>
                                <w:lang w:val="sr-Cyrl-RS"/>
                              </w:rPr>
                              <w:t>систем координације и праћења спровођења НОКС-а?</w:t>
                            </w:r>
                          </w:p>
                        </w:tc>
                      </w:tr>
                      <w:tr w:rsidR="00D72BAA" w:rsidRPr="004D7EA5" w14:paraId="674A80FF"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1646101"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02EA083B" w14:textId="33AAAAAC" w:rsidR="00D72BAA" w:rsidRPr="009B2CE9" w:rsidRDefault="00A75EC1" w:rsidP="009B2CE9">
                            <w:pPr>
                              <w:pStyle w:val="basic-paragraph"/>
                              <w:numPr>
                                <w:ilvl w:val="1"/>
                                <w:numId w:val="10"/>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Да ли је успостављен адекватан систем мониторинга спровођења НОКС-а? Да ли се </w:t>
                            </w:r>
                            <w:r w:rsidR="002D37E2" w:rsidRPr="009B2CE9">
                              <w:rPr>
                                <w:rStyle w:val="italik"/>
                                <w:rFonts w:ascii="Times New Roman" w:eastAsiaTheme="majorEastAsia" w:hAnsi="Times New Roman"/>
                                <w:lang w:val="sr-Cyrl-RS"/>
                              </w:rPr>
                              <w:t>редовно прати употреба ресурса како би се осигурала исплатива имплементација НОКС-а?</w:t>
                            </w:r>
                            <w:r w:rsidR="005F62A7" w:rsidRPr="009B2CE9">
                              <w:rPr>
                                <w:rStyle w:val="italik"/>
                                <w:rFonts w:ascii="Times New Roman" w:eastAsiaTheme="majorEastAsia" w:hAnsi="Times New Roman"/>
                                <w:lang w:val="sr-Cyrl-RS"/>
                              </w:rPr>
                              <w:t xml:space="preserve"> Да ли </w:t>
                            </w:r>
                            <w:r w:rsidR="00CC3C03" w:rsidRPr="009B2CE9">
                              <w:rPr>
                                <w:rStyle w:val="italik"/>
                                <w:rFonts w:ascii="Times New Roman" w:eastAsiaTheme="majorEastAsia" w:hAnsi="Times New Roman"/>
                                <w:lang w:val="sr-Cyrl-RS"/>
                              </w:rPr>
                              <w:t xml:space="preserve">је спровођење </w:t>
                            </w:r>
                            <w:r w:rsidR="005F62A7" w:rsidRPr="009B2CE9">
                              <w:rPr>
                                <w:rStyle w:val="italik"/>
                                <w:rFonts w:ascii="Times New Roman" w:eastAsiaTheme="majorEastAsia" w:hAnsi="Times New Roman"/>
                                <w:lang w:val="sr-Cyrl-RS"/>
                              </w:rPr>
                              <w:t>активности адекватно праћен</w:t>
                            </w:r>
                            <w:r w:rsidR="00CC3C03" w:rsidRPr="009B2CE9">
                              <w:rPr>
                                <w:rStyle w:val="italik"/>
                                <w:rFonts w:ascii="Times New Roman" w:eastAsiaTheme="majorEastAsia" w:hAnsi="Times New Roman"/>
                                <w:lang w:val="sr-Cyrl-RS"/>
                              </w:rPr>
                              <w:t xml:space="preserve">о </w:t>
                            </w:r>
                            <w:r w:rsidR="005F62A7" w:rsidRPr="009B2CE9">
                              <w:rPr>
                                <w:rStyle w:val="italik"/>
                                <w:rFonts w:ascii="Times New Roman" w:eastAsiaTheme="majorEastAsia" w:hAnsi="Times New Roman"/>
                                <w:lang w:val="sr-Cyrl-RS"/>
                              </w:rPr>
                              <w:t>од стране менаџмента?</w:t>
                            </w:r>
                          </w:p>
                        </w:tc>
                      </w:tr>
                      <w:tr w:rsidR="00D72BAA" w:rsidRPr="004D7EA5" w14:paraId="2E44DE21"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30439981" w14:textId="77777777" w:rsidR="00D72BAA" w:rsidRPr="009B2CE9" w:rsidRDefault="00D72BAA"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2C64B372" w14:textId="23388F9A" w:rsidR="00D72BAA" w:rsidRPr="009B2CE9" w:rsidRDefault="00746E82" w:rsidP="009B2CE9">
                            <w:pPr>
                              <w:pStyle w:val="basic-paragraph"/>
                              <w:numPr>
                                <w:ilvl w:val="1"/>
                                <w:numId w:val="10"/>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Да ли је ус</w:t>
                            </w:r>
                            <w:r w:rsidR="002D37E2" w:rsidRPr="009B2CE9">
                              <w:rPr>
                                <w:rFonts w:ascii="Times New Roman" w:hAnsi="Times New Roman"/>
                                <w:lang w:val="sr-Cyrl-RS"/>
                              </w:rPr>
                              <w:t>постављен систем транспарентног финансијског извештавања?</w:t>
                            </w:r>
                          </w:p>
                        </w:tc>
                      </w:tr>
                    </w:tbl>
                    <w:p w14:paraId="58416D46" w14:textId="77777777" w:rsidR="00D72BAA" w:rsidRPr="009B2CE9" w:rsidRDefault="00D72BAA" w:rsidP="00D72BAA">
                      <w:pPr>
                        <w:rPr>
                          <w:rFonts w:cs="Times New Roman"/>
                          <w:sz w:val="8"/>
                          <w:szCs w:val="8"/>
                          <w:lang w:val="sr-Cyrl-RS"/>
                        </w:rPr>
                      </w:pPr>
                    </w:p>
                  </w:txbxContent>
                </v:textbox>
                <w10:anchorlock/>
              </v:shape>
            </w:pict>
          </mc:Fallback>
        </mc:AlternateContent>
      </w:r>
    </w:p>
    <w:p w14:paraId="10EB0A0C" w14:textId="77777777" w:rsidR="009B2CE9" w:rsidRDefault="009B2CE9">
      <w:pPr>
        <w:spacing w:line="240" w:lineRule="auto"/>
        <w:rPr>
          <w:rStyle w:val="italik"/>
          <w:rFonts w:eastAsiaTheme="majorEastAsia"/>
          <w:b/>
          <w:bCs/>
          <w:i/>
          <w:sz w:val="26"/>
          <w:lang w:val="sr-Cyrl-RS"/>
        </w:rPr>
      </w:pPr>
      <w:r>
        <w:rPr>
          <w:rStyle w:val="italik"/>
          <w:lang w:val="sr-Cyrl-RS"/>
        </w:rPr>
        <w:br w:type="page"/>
      </w:r>
    </w:p>
    <w:p w14:paraId="6B969DE9" w14:textId="5C49A926" w:rsidR="00BC4F37" w:rsidRPr="00884CF0" w:rsidRDefault="00BC4F37" w:rsidP="009B2CE9">
      <w:pPr>
        <w:pStyle w:val="Heading3"/>
        <w:rPr>
          <w:rStyle w:val="italik"/>
          <w:lang w:val="sr-Cyrl-RS"/>
        </w:rPr>
      </w:pPr>
      <w:bookmarkStart w:id="15" w:name="_Toc119880827"/>
      <w:r w:rsidRPr="00884CF0">
        <w:rPr>
          <w:rStyle w:val="italik"/>
          <w:lang w:val="sr-Cyrl-RS"/>
        </w:rPr>
        <w:lastRenderedPageBreak/>
        <w:t>У</w:t>
      </w:r>
      <w:r w:rsidR="00F711AE" w:rsidRPr="00884CF0">
        <w:rPr>
          <w:rStyle w:val="italik"/>
          <w:lang w:val="sr-Cyrl-RS"/>
        </w:rPr>
        <w:t>тицај</w:t>
      </w:r>
      <w:bookmarkEnd w:id="15"/>
      <w:r w:rsidR="00F711AE" w:rsidRPr="00884CF0">
        <w:rPr>
          <w:rStyle w:val="italik"/>
          <w:lang w:val="sr-Cyrl-RS"/>
        </w:rPr>
        <w:t xml:space="preserve"> </w:t>
      </w:r>
    </w:p>
    <w:p w14:paraId="6933FAE5" w14:textId="7C523773" w:rsidR="00BC4F37" w:rsidRPr="00884CF0" w:rsidRDefault="00BC4F37" w:rsidP="009B2CE9">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 xml:space="preserve">Анализа утицаја НОКС-а </w:t>
      </w:r>
      <w:r w:rsidR="00D925D8" w:rsidRPr="00884CF0">
        <w:rPr>
          <w:rStyle w:val="italik"/>
          <w:rFonts w:eastAsiaTheme="majorEastAsia"/>
          <w:lang w:val="sr-Cyrl-RS"/>
        </w:rPr>
        <w:t xml:space="preserve">треба да процени његове шире или дугорочније трансформативне ефекте на појединца и друштво </w:t>
      </w:r>
      <w:r w:rsidR="00C46621" w:rsidRPr="00884CF0">
        <w:rPr>
          <w:rStyle w:val="italik"/>
          <w:rFonts w:eastAsiaTheme="majorEastAsia"/>
          <w:lang w:val="sr-Cyrl-RS"/>
        </w:rPr>
        <w:t xml:space="preserve">које је интервенција донела и </w:t>
      </w:r>
      <w:r w:rsidR="00A0401E" w:rsidRPr="00884CF0">
        <w:rPr>
          <w:rStyle w:val="italik"/>
          <w:rFonts w:eastAsiaTheme="majorEastAsia"/>
          <w:lang w:val="sr-Cyrl-RS"/>
        </w:rPr>
        <w:t>истражиће</w:t>
      </w:r>
      <w:r w:rsidR="00D925D8" w:rsidRPr="00884CF0">
        <w:rPr>
          <w:rStyle w:val="italik"/>
          <w:rFonts w:eastAsiaTheme="majorEastAsia"/>
          <w:lang w:val="sr-Cyrl-RS"/>
        </w:rPr>
        <w:t xml:space="preserve"> се </w:t>
      </w:r>
      <w:r w:rsidR="00C46621" w:rsidRPr="00884CF0">
        <w:rPr>
          <w:rStyle w:val="italik"/>
          <w:rFonts w:eastAsiaTheme="majorEastAsia"/>
          <w:lang w:val="sr-Cyrl-RS"/>
        </w:rPr>
        <w:t xml:space="preserve">кроз </w:t>
      </w:r>
      <w:r w:rsidR="00340926" w:rsidRPr="00884CF0">
        <w:rPr>
          <w:rStyle w:val="italik"/>
          <w:rFonts w:eastAsiaTheme="majorEastAsia"/>
          <w:lang w:val="sr-Cyrl-RS"/>
        </w:rPr>
        <w:t>следећа питања:</w:t>
      </w:r>
    </w:p>
    <w:p w14:paraId="36E2094A" w14:textId="12DE0769" w:rsidR="00340926" w:rsidRPr="00884CF0" w:rsidRDefault="00340926" w:rsidP="00340926">
      <w:pPr>
        <w:pStyle w:val="basic-paragraph"/>
        <w:spacing w:line="360" w:lineRule="auto"/>
        <w:jc w:val="both"/>
        <w:rPr>
          <w:rStyle w:val="italik"/>
          <w:rFonts w:eastAsiaTheme="majorEastAsia"/>
          <w:lang w:val="sr-Cyrl-RS"/>
        </w:rPr>
      </w:pPr>
      <w:r w:rsidRPr="00884CF0">
        <w:rPr>
          <w:rFonts w:ascii="Calibri" w:eastAsia="Calibri" w:hAnsi="Calibri" w:cs="Arial"/>
          <w:noProof/>
          <w:sz w:val="22"/>
          <w:szCs w:val="22"/>
        </w:rPr>
        <mc:AlternateContent>
          <mc:Choice Requires="wps">
            <w:drawing>
              <wp:inline distT="0" distB="0" distL="0" distR="0" wp14:anchorId="6ACEFF30" wp14:editId="4174EC9D">
                <wp:extent cx="5619750" cy="4486275"/>
                <wp:effectExtent l="19050" t="1905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486275"/>
                        </a:xfrm>
                        <a:prstGeom prst="rect">
                          <a:avLst/>
                        </a:prstGeom>
                        <a:solidFill>
                          <a:srgbClr val="FFFFFF"/>
                        </a:solidFill>
                        <a:ln w="38100" cmpd="dbl">
                          <a:solidFill>
                            <a:srgbClr val="4472C4">
                              <a:lumMod val="100000"/>
                              <a:lumOff val="0"/>
                            </a:srgbClr>
                          </a:solidFill>
                          <a:miter lim="800000"/>
                          <a:headEnd/>
                          <a:tailEnd/>
                        </a:ln>
                      </wps:spPr>
                      <wps:txbx>
                        <w:txbxContent>
                          <w:tbl>
                            <w:tblPr>
                              <w:tblStyle w:val="TableGrid4"/>
                              <w:tblW w:w="8505" w:type="dxa"/>
                              <w:tblInd w:w="-3" w:type="dxa"/>
                              <w:tblCellMar>
                                <w:top w:w="113" w:type="dxa"/>
                                <w:bottom w:w="113" w:type="dxa"/>
                              </w:tblCellMar>
                              <w:tblLook w:val="04A0" w:firstRow="1" w:lastRow="0" w:firstColumn="1" w:lastColumn="0" w:noHBand="0" w:noVBand="1"/>
                            </w:tblPr>
                            <w:tblGrid>
                              <w:gridCol w:w="3321"/>
                              <w:gridCol w:w="5184"/>
                            </w:tblGrid>
                            <w:tr w:rsidR="00340926" w:rsidRPr="009B2CE9" w14:paraId="3FCE7F62" w14:textId="77777777" w:rsidTr="009B2CE9">
                              <w:tc>
                                <w:tcPr>
                                  <w:tcW w:w="8505" w:type="dxa"/>
                                  <w:gridSpan w:val="2"/>
                                  <w:tcBorders>
                                    <w:top w:val="single" w:sz="2" w:space="0" w:color="4472C4"/>
                                    <w:left w:val="single" w:sz="2" w:space="0" w:color="4472C4"/>
                                    <w:bottom w:val="single" w:sz="12" w:space="0" w:color="4472C4"/>
                                    <w:right w:val="single" w:sz="12" w:space="0" w:color="4472C4"/>
                                  </w:tcBorders>
                                </w:tcPr>
                                <w:p w14:paraId="51A19B45" w14:textId="470623B4" w:rsidR="00340926" w:rsidRPr="009B2CE9" w:rsidRDefault="00340926" w:rsidP="009B2CE9">
                                  <w:pPr>
                                    <w:spacing w:line="312" w:lineRule="auto"/>
                                    <w:rPr>
                                      <w:rFonts w:ascii="Times New Roman" w:hAnsi="Times New Roman" w:cs="Times New Roman"/>
                                      <w:lang w:val="sr-Cyrl-RS"/>
                                    </w:rPr>
                                  </w:pPr>
                                  <w:r w:rsidRPr="009B2CE9">
                                    <w:rPr>
                                      <w:rFonts w:ascii="Times New Roman" w:hAnsi="Times New Roman" w:cs="Times New Roman"/>
                                      <w:lang w:val="sr-Cyrl-RS"/>
                                    </w:rPr>
                                    <w:t xml:space="preserve">Критеријум </w:t>
                                  </w:r>
                                  <w:r w:rsidR="00E820CE">
                                    <w:rPr>
                                      <w:rFonts w:ascii="Times New Roman" w:hAnsi="Times New Roman" w:cs="Times New Roman"/>
                                      <w:lang w:val="sr-Cyrl-RS"/>
                                    </w:rPr>
                                    <w:t>4</w:t>
                                  </w:r>
                                  <w:r w:rsidRPr="009B2CE9">
                                    <w:rPr>
                                      <w:rFonts w:ascii="Times New Roman" w:hAnsi="Times New Roman" w:cs="Times New Roman"/>
                                      <w:lang w:val="sr-Cyrl-RS"/>
                                    </w:rPr>
                                    <w:t xml:space="preserve">: </w:t>
                                  </w:r>
                                  <w:r w:rsidR="00DF3BDC">
                                    <w:rPr>
                                      <w:rFonts w:ascii="Times New Roman" w:hAnsi="Times New Roman" w:cs="Times New Roman"/>
                                      <w:lang w:val="sr-Cyrl-RS"/>
                                    </w:rPr>
                                    <w:t>УТИЦАЈ</w:t>
                                  </w:r>
                                </w:p>
                              </w:tc>
                            </w:tr>
                            <w:tr w:rsidR="00340926" w:rsidRPr="009B2CE9" w14:paraId="1E44C9DD" w14:textId="77777777" w:rsidTr="009B2CE9">
                              <w:trPr>
                                <w:trHeight w:val="27"/>
                              </w:trPr>
                              <w:tc>
                                <w:tcPr>
                                  <w:tcW w:w="3321" w:type="dxa"/>
                                  <w:tcBorders>
                                    <w:top w:val="single" w:sz="12" w:space="0" w:color="4472C4"/>
                                    <w:left w:val="nil"/>
                                    <w:bottom w:val="single" w:sz="4" w:space="0" w:color="4472C4"/>
                                    <w:right w:val="nil"/>
                                  </w:tcBorders>
                                  <w:tcMar>
                                    <w:top w:w="57" w:type="dxa"/>
                                    <w:bottom w:w="57" w:type="dxa"/>
                                  </w:tcMar>
                                </w:tcPr>
                                <w:p w14:paraId="6FF999DB" w14:textId="77777777" w:rsidR="00340926" w:rsidRPr="009B2CE9" w:rsidRDefault="00340926" w:rsidP="009B2CE9">
                                  <w:pPr>
                                    <w:spacing w:line="312" w:lineRule="auto"/>
                                    <w:rPr>
                                      <w:rFonts w:ascii="Times New Roman" w:hAnsi="Times New Roman" w:cs="Times New Roman"/>
                                      <w:sz w:val="8"/>
                                      <w:szCs w:val="8"/>
                                    </w:rPr>
                                  </w:pPr>
                                </w:p>
                              </w:tc>
                              <w:tc>
                                <w:tcPr>
                                  <w:tcW w:w="5184" w:type="dxa"/>
                                  <w:tcBorders>
                                    <w:top w:val="single" w:sz="12" w:space="0" w:color="4472C4"/>
                                    <w:left w:val="nil"/>
                                    <w:bottom w:val="single" w:sz="4" w:space="0" w:color="4472C4"/>
                                    <w:right w:val="nil"/>
                                  </w:tcBorders>
                                  <w:tcMar>
                                    <w:top w:w="57" w:type="dxa"/>
                                    <w:bottom w:w="57" w:type="dxa"/>
                                  </w:tcMar>
                                </w:tcPr>
                                <w:p w14:paraId="55905CCB" w14:textId="77777777" w:rsidR="00340926" w:rsidRPr="009B2CE9" w:rsidRDefault="00340926" w:rsidP="009B2CE9">
                                  <w:pPr>
                                    <w:spacing w:line="312" w:lineRule="auto"/>
                                    <w:rPr>
                                      <w:rFonts w:ascii="Times New Roman" w:hAnsi="Times New Roman" w:cs="Times New Roman"/>
                                      <w:sz w:val="8"/>
                                      <w:szCs w:val="8"/>
                                    </w:rPr>
                                  </w:pPr>
                                </w:p>
                              </w:tc>
                            </w:tr>
                            <w:tr w:rsidR="00340926" w:rsidRPr="004D7EA5" w14:paraId="2B79653A" w14:textId="77777777" w:rsidTr="009B2CE9">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5000EF43" w14:textId="6B9C2E65" w:rsidR="00340926" w:rsidRPr="009B2CE9" w:rsidRDefault="008A1735"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Сржне п</w:t>
                                  </w:r>
                                  <w:r w:rsidR="008E6037" w:rsidRPr="009B2CE9">
                                    <w:rPr>
                                      <w:rFonts w:ascii="Times New Roman" w:hAnsi="Times New Roman" w:cs="Times New Roman"/>
                                      <w:lang w:val="sr-Cyrl-RS"/>
                                    </w:rPr>
                                    <w:t>ромене које је примена НОКС-а донела</w:t>
                                  </w:r>
                                </w:p>
                              </w:tc>
                              <w:tc>
                                <w:tcPr>
                                  <w:tcW w:w="5184" w:type="dxa"/>
                                  <w:tcBorders>
                                    <w:top w:val="single" w:sz="4" w:space="0" w:color="4472C4"/>
                                    <w:left w:val="single" w:sz="2" w:space="0" w:color="000000"/>
                                    <w:bottom w:val="single" w:sz="2" w:space="0" w:color="000000"/>
                                    <w:right w:val="single" w:sz="12" w:space="0" w:color="4472C4"/>
                                  </w:tcBorders>
                                </w:tcPr>
                                <w:p w14:paraId="4EE7BE39" w14:textId="0561DCC0" w:rsidR="00340926" w:rsidRPr="009B2CE9" w:rsidRDefault="008A1735" w:rsidP="009B2CE9">
                                  <w:pPr>
                                    <w:pStyle w:val="basic-paragraph"/>
                                    <w:numPr>
                                      <w:ilvl w:val="1"/>
                                      <w:numId w:val="28"/>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Да ли је НОКС донео значајне промене у животе корисника? </w:t>
                                  </w:r>
                                  <w:r w:rsidR="00C46621" w:rsidRPr="009B2CE9">
                                    <w:rPr>
                                      <w:rStyle w:val="italik"/>
                                      <w:rFonts w:ascii="Times New Roman" w:eastAsiaTheme="majorEastAsia" w:hAnsi="Times New Roman"/>
                                      <w:lang w:val="sr-Cyrl-RS"/>
                                    </w:rPr>
                                    <w:t xml:space="preserve">Колике и какве </w:t>
                                  </w:r>
                                  <w:r w:rsidR="003630BB" w:rsidRPr="009B2CE9">
                                    <w:rPr>
                                      <w:rStyle w:val="italik"/>
                                      <w:rFonts w:ascii="Times New Roman" w:eastAsiaTheme="majorEastAsia" w:hAnsi="Times New Roman"/>
                                      <w:lang w:val="sr-Cyrl-RS"/>
                                    </w:rPr>
                                    <w:t xml:space="preserve">индиректне, консеквентне </w:t>
                                  </w:r>
                                  <w:r w:rsidR="00C46621" w:rsidRPr="009B2CE9">
                                    <w:rPr>
                                      <w:rStyle w:val="italik"/>
                                      <w:rFonts w:ascii="Times New Roman" w:eastAsiaTheme="majorEastAsia" w:hAnsi="Times New Roman"/>
                                      <w:lang w:val="sr-Cyrl-RS"/>
                                    </w:rPr>
                                    <w:t>промене и исходи су остварени на и</w:t>
                                  </w:r>
                                  <w:r w:rsidRPr="009B2CE9">
                                    <w:rPr>
                                      <w:rStyle w:val="italik"/>
                                      <w:rFonts w:ascii="Times New Roman" w:eastAsiaTheme="majorEastAsia" w:hAnsi="Times New Roman"/>
                                      <w:lang w:val="sr-Cyrl-RS"/>
                                    </w:rPr>
                                    <w:t>нд</w:t>
                                  </w:r>
                                  <w:r w:rsidR="00C46621" w:rsidRPr="009B2CE9">
                                    <w:rPr>
                                      <w:rStyle w:val="italik"/>
                                      <w:rFonts w:ascii="Times New Roman" w:eastAsiaTheme="majorEastAsia" w:hAnsi="Times New Roman"/>
                                      <w:lang w:val="sr-Cyrl-RS"/>
                                    </w:rPr>
                                    <w:t>ивидуалном, групном нивоу, нивоу заједнице</w:t>
                                  </w:r>
                                  <w:r w:rsidRPr="009B2CE9">
                                    <w:rPr>
                                      <w:rStyle w:val="italik"/>
                                      <w:rFonts w:ascii="Times New Roman" w:eastAsiaTheme="majorEastAsia" w:hAnsi="Times New Roman"/>
                                      <w:lang w:val="sr-Cyrl-RS"/>
                                    </w:rPr>
                                    <w:t xml:space="preserve">? Да ли је донео </w:t>
                                  </w:r>
                                  <w:r w:rsidR="00450DD6" w:rsidRPr="009B2CE9">
                                    <w:rPr>
                                      <w:rStyle w:val="italik"/>
                                      <w:rFonts w:ascii="Times New Roman" w:eastAsiaTheme="majorEastAsia" w:hAnsi="Times New Roman"/>
                                      <w:lang w:val="sr-Cyrl-RS"/>
                                    </w:rPr>
                                    <w:t xml:space="preserve">трајне </w:t>
                                  </w:r>
                                  <w:r w:rsidRPr="009B2CE9">
                                    <w:rPr>
                                      <w:rStyle w:val="italik"/>
                                      <w:rFonts w:ascii="Times New Roman" w:eastAsiaTheme="majorEastAsia" w:hAnsi="Times New Roman"/>
                                      <w:lang w:val="sr-Cyrl-RS"/>
                                    </w:rPr>
                                    <w:t>промене на нивоу норми или система</w:t>
                                  </w:r>
                                  <w:r w:rsidR="00C46621" w:rsidRPr="009B2CE9">
                                    <w:rPr>
                                      <w:rStyle w:val="italik"/>
                                      <w:rFonts w:ascii="Times New Roman" w:eastAsiaTheme="majorEastAsia" w:hAnsi="Times New Roman"/>
                                      <w:lang w:val="sr-Cyrl-RS"/>
                                    </w:rPr>
                                    <w:t>?</w:t>
                                  </w:r>
                                  <w:r w:rsidR="003630BB" w:rsidRPr="009B2CE9">
                                    <w:rPr>
                                      <w:rStyle w:val="italik"/>
                                      <w:rFonts w:ascii="Times New Roman" w:eastAsiaTheme="majorEastAsia" w:hAnsi="Times New Roman"/>
                                      <w:lang w:val="sr-Cyrl-RS"/>
                                    </w:rPr>
                                    <w:t xml:space="preserve"> Какви су ефекти политике на личну добробит, људска права, једнакост полова, окружење?</w:t>
                                  </w:r>
                                </w:p>
                              </w:tc>
                            </w:tr>
                            <w:tr w:rsidR="00340926" w:rsidRPr="004D7EA5" w14:paraId="02037218" w14:textId="77777777" w:rsidTr="009B2CE9">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6B2D37B6" w14:textId="77777777" w:rsidR="00340926" w:rsidRPr="009B2CE9" w:rsidRDefault="00340926"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0BF328F" w14:textId="14997086" w:rsidR="00340926" w:rsidRPr="009B2CE9" w:rsidRDefault="00C46621" w:rsidP="009B2CE9">
                                  <w:pPr>
                                    <w:pStyle w:val="basic-paragraph"/>
                                    <w:numPr>
                                      <w:ilvl w:val="1"/>
                                      <w:numId w:val="28"/>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Које од тих промена се могу приписати политици, а које не</w:t>
                                  </w:r>
                                  <w:r w:rsidR="003630BB" w:rsidRPr="009B2CE9">
                                    <w:rPr>
                                      <w:rStyle w:val="italik"/>
                                      <w:rFonts w:ascii="Times New Roman" w:eastAsiaTheme="majorEastAsia" w:hAnsi="Times New Roman"/>
                                      <w:lang w:val="sr-Cyrl-RS"/>
                                    </w:rPr>
                                    <w:t>?</w:t>
                                  </w:r>
                                </w:p>
                              </w:tc>
                            </w:tr>
                            <w:tr w:rsidR="00340926" w:rsidRPr="004D7EA5" w14:paraId="5FD39C5C"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593CA389" w14:textId="77777777" w:rsidR="00340926" w:rsidRPr="009B2CE9" w:rsidRDefault="00340926"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065AAE0B" w14:textId="5320B831" w:rsidR="00340926" w:rsidRPr="009B2CE9" w:rsidRDefault="00C46621" w:rsidP="009B2CE9">
                                  <w:pPr>
                                    <w:pStyle w:val="basic-paragraph"/>
                                    <w:numPr>
                                      <w:ilvl w:val="1"/>
                                      <w:numId w:val="28"/>
                                    </w:numPr>
                                    <w:spacing w:before="0" w:beforeAutospacing="0" w:after="0" w:afterAutospacing="0" w:line="312" w:lineRule="auto"/>
                                    <w:jc w:val="both"/>
                                    <w:rPr>
                                      <w:rFonts w:ascii="Times New Roman" w:eastAsiaTheme="majorEastAsia" w:hAnsi="Times New Roman"/>
                                      <w:lang w:val="sr-Cyrl-RS"/>
                                    </w:rPr>
                                  </w:pPr>
                                  <w:r w:rsidRPr="009B2CE9">
                                    <w:rPr>
                                      <w:rFonts w:ascii="Times New Roman" w:hAnsi="Times New Roman"/>
                                      <w:lang w:val="sr-Cyrl-RS"/>
                                    </w:rPr>
                                    <w:t>Д</w:t>
                                  </w:r>
                                  <w:r w:rsidRPr="009B2CE9">
                                    <w:rPr>
                                      <w:rStyle w:val="italik"/>
                                      <w:rFonts w:ascii="Times New Roman" w:eastAsiaTheme="majorEastAsia" w:hAnsi="Times New Roman"/>
                                      <w:lang w:val="sr-Cyrl-RS"/>
                                    </w:rPr>
                                    <w:t xml:space="preserve">а ли је политика другачије утицала на различите групе, </w:t>
                                  </w:r>
                                  <w:r w:rsidR="00450DD6" w:rsidRPr="009B2CE9">
                                    <w:rPr>
                                      <w:rStyle w:val="italik"/>
                                      <w:rFonts w:ascii="Times New Roman" w:eastAsiaTheme="majorEastAsia" w:hAnsi="Times New Roman"/>
                                      <w:lang w:val="sr-Cyrl-RS"/>
                                    </w:rPr>
                                    <w:t xml:space="preserve">(укључујући и осетљиве), </w:t>
                                  </w:r>
                                  <w:r w:rsidRPr="009B2CE9">
                                    <w:rPr>
                                      <w:rStyle w:val="italik"/>
                                      <w:rFonts w:ascii="Times New Roman" w:eastAsiaTheme="majorEastAsia" w:hAnsi="Times New Roman"/>
                                      <w:lang w:val="sr-Cyrl-RS"/>
                                    </w:rPr>
                                    <w:t>ако јесте, како је утицала и зашто се то догодило?</w:t>
                                  </w:r>
                                </w:p>
                              </w:tc>
                            </w:tr>
                            <w:tr w:rsidR="00340926" w:rsidRPr="004D7EA5" w14:paraId="216673D7"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54225062" w14:textId="77777777" w:rsidR="00340926" w:rsidRPr="009B2CE9" w:rsidRDefault="00340926"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372AD12" w14:textId="18CBD7D6" w:rsidR="00340926" w:rsidRPr="009B2CE9" w:rsidRDefault="00C46621" w:rsidP="009B2CE9">
                                  <w:pPr>
                                    <w:pStyle w:val="basic-paragraph"/>
                                    <w:numPr>
                                      <w:ilvl w:val="1"/>
                                      <w:numId w:val="28"/>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К</w:t>
                                  </w:r>
                                  <w:r w:rsidRPr="009B2CE9">
                                    <w:rPr>
                                      <w:rStyle w:val="italik"/>
                                      <w:rFonts w:ascii="Times New Roman" w:eastAsiaTheme="majorEastAsia" w:hAnsi="Times New Roman"/>
                                      <w:lang w:val="sr-Cyrl-RS"/>
                                    </w:rPr>
                                    <w:t>ако је ситуац</w:t>
                                  </w:r>
                                  <w:r w:rsidR="008E6037" w:rsidRPr="009B2CE9">
                                    <w:rPr>
                                      <w:rStyle w:val="italik"/>
                                      <w:rFonts w:ascii="Times New Roman" w:eastAsiaTheme="majorEastAsia" w:hAnsi="Times New Roman"/>
                                      <w:lang w:val="sr-Cyrl-RS"/>
                                    </w:rPr>
                                    <w:t>и</w:t>
                                  </w:r>
                                  <w:r w:rsidRPr="009B2CE9">
                                    <w:rPr>
                                      <w:rStyle w:val="italik"/>
                                      <w:rFonts w:ascii="Times New Roman" w:eastAsiaTheme="majorEastAsia" w:hAnsi="Times New Roman"/>
                                      <w:lang w:val="sr-Cyrl-RS"/>
                                    </w:rPr>
                                    <w:t xml:space="preserve">они и друштвени контекст утицао на </w:t>
                                  </w:r>
                                  <w:r w:rsidR="008E6037" w:rsidRPr="009B2CE9">
                                    <w:rPr>
                                      <w:rStyle w:val="italik"/>
                                      <w:rFonts w:ascii="Times New Roman" w:eastAsiaTheme="majorEastAsia" w:hAnsi="Times New Roman"/>
                                      <w:lang w:val="sr-Cyrl-RS"/>
                                    </w:rPr>
                                    <w:t>постигнуте промене</w:t>
                                  </w:r>
                                  <w:r w:rsidRPr="009B2CE9">
                                    <w:rPr>
                                      <w:rStyle w:val="italik"/>
                                      <w:rFonts w:ascii="Times New Roman" w:eastAsiaTheme="majorEastAsia" w:hAnsi="Times New Roman"/>
                                      <w:lang w:val="sr-Cyrl-RS"/>
                                    </w:rPr>
                                    <w:t>?</w:t>
                                  </w:r>
                                </w:p>
                              </w:tc>
                            </w:tr>
                          </w:tbl>
                          <w:p w14:paraId="28D1C778" w14:textId="77777777" w:rsidR="00340926" w:rsidRPr="009B2CE9" w:rsidRDefault="00340926" w:rsidP="00340926">
                            <w:pPr>
                              <w:rPr>
                                <w:rFonts w:cs="Times New Roman"/>
                                <w:sz w:val="8"/>
                                <w:szCs w:val="8"/>
                                <w:lang w:val="sr-Cyrl-RS"/>
                              </w:rPr>
                            </w:pPr>
                            <w:r w:rsidRPr="009B2CE9">
                              <w:rPr>
                                <w:rFonts w:cs="Times New Roman"/>
                                <w:sz w:val="8"/>
                                <w:szCs w:val="8"/>
                                <w:lang w:val="sr-Cyrl-RS"/>
                              </w:rPr>
                              <w:t>ц</w:t>
                            </w:r>
                          </w:p>
                        </w:txbxContent>
                      </wps:txbx>
                      <wps:bodyPr rot="0" vert="horz" wrap="square" lIns="91440" tIns="90000" rIns="180000" bIns="36000" anchor="t" anchorCtr="0" upright="1">
                        <a:noAutofit/>
                      </wps:bodyPr>
                    </wps:wsp>
                  </a:graphicData>
                </a:graphic>
              </wp:inline>
            </w:drawing>
          </mc:Choice>
          <mc:Fallback>
            <w:pict>
              <v:shape w14:anchorId="6ACEFF30" id="_x0000_s1029" type="#_x0000_t202" style="width:442.5pt;height:3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" strokecolor="#4472c4" strokeweight="3pt">
                <v:stroke linestyle="thinThin"/>
                <v:textbox inset=",2.5mm,5mm,1mm">
                  <w:txbxContent>
                    <w:tbl>
                      <w:tblPr>
                        <w:tblStyle w:val="TableGrid4"/>
                        <w:tblW w:w="8505" w:type="dxa"/>
                        <w:tblInd w:w="-3" w:type="dxa"/>
                        <w:tblCellMar>
                          <w:top w:w="113" w:type="dxa"/>
                          <w:bottom w:w="113" w:type="dxa"/>
                        </w:tblCellMar>
                        <w:tblLook w:val="04A0" w:firstRow="1" w:lastRow="0" w:firstColumn="1" w:lastColumn="0" w:noHBand="0" w:noVBand="1"/>
                      </w:tblPr>
                      <w:tblGrid>
                        <w:gridCol w:w="3321"/>
                        <w:gridCol w:w="5184"/>
                      </w:tblGrid>
                      <w:tr w:rsidR="00340926" w:rsidRPr="009B2CE9" w14:paraId="3FCE7F62" w14:textId="77777777" w:rsidTr="009B2CE9">
                        <w:tc>
                          <w:tcPr>
                            <w:tcW w:w="8505" w:type="dxa"/>
                            <w:gridSpan w:val="2"/>
                            <w:tcBorders>
                              <w:top w:val="single" w:sz="2" w:space="0" w:color="4472C4"/>
                              <w:left w:val="single" w:sz="2" w:space="0" w:color="4472C4"/>
                              <w:bottom w:val="single" w:sz="12" w:space="0" w:color="4472C4"/>
                              <w:right w:val="single" w:sz="12" w:space="0" w:color="4472C4"/>
                            </w:tcBorders>
                          </w:tcPr>
                          <w:p w14:paraId="51A19B45" w14:textId="470623B4" w:rsidR="00340926" w:rsidRPr="009B2CE9" w:rsidRDefault="00340926" w:rsidP="009B2CE9">
                            <w:pPr>
                              <w:spacing w:line="312" w:lineRule="auto"/>
                              <w:rPr>
                                <w:rFonts w:ascii="Times New Roman" w:hAnsi="Times New Roman" w:cs="Times New Roman"/>
                                <w:lang w:val="sr-Cyrl-RS"/>
                              </w:rPr>
                            </w:pPr>
                            <w:r w:rsidRPr="009B2CE9">
                              <w:rPr>
                                <w:rFonts w:ascii="Times New Roman" w:hAnsi="Times New Roman" w:cs="Times New Roman"/>
                                <w:lang w:val="sr-Cyrl-RS"/>
                              </w:rPr>
                              <w:t xml:space="preserve">Критеријум </w:t>
                            </w:r>
                            <w:r w:rsidR="00E820CE">
                              <w:rPr>
                                <w:rFonts w:ascii="Times New Roman" w:hAnsi="Times New Roman" w:cs="Times New Roman"/>
                                <w:lang w:val="sr-Cyrl-RS"/>
                              </w:rPr>
                              <w:t>4</w:t>
                            </w:r>
                            <w:r w:rsidRPr="009B2CE9">
                              <w:rPr>
                                <w:rFonts w:ascii="Times New Roman" w:hAnsi="Times New Roman" w:cs="Times New Roman"/>
                                <w:lang w:val="sr-Cyrl-RS"/>
                              </w:rPr>
                              <w:t xml:space="preserve">: </w:t>
                            </w:r>
                            <w:r w:rsidR="00DF3BDC">
                              <w:rPr>
                                <w:rFonts w:ascii="Times New Roman" w:hAnsi="Times New Roman" w:cs="Times New Roman"/>
                                <w:lang w:val="sr-Cyrl-RS"/>
                              </w:rPr>
                              <w:t>УТИЦАЈ</w:t>
                            </w:r>
                          </w:p>
                        </w:tc>
                      </w:tr>
                      <w:tr w:rsidR="00340926" w:rsidRPr="009B2CE9" w14:paraId="1E44C9DD" w14:textId="77777777" w:rsidTr="009B2CE9">
                        <w:trPr>
                          <w:trHeight w:val="27"/>
                        </w:trPr>
                        <w:tc>
                          <w:tcPr>
                            <w:tcW w:w="3321" w:type="dxa"/>
                            <w:tcBorders>
                              <w:top w:val="single" w:sz="12" w:space="0" w:color="4472C4"/>
                              <w:left w:val="nil"/>
                              <w:bottom w:val="single" w:sz="4" w:space="0" w:color="4472C4"/>
                              <w:right w:val="nil"/>
                            </w:tcBorders>
                            <w:tcMar>
                              <w:top w:w="57" w:type="dxa"/>
                              <w:bottom w:w="57" w:type="dxa"/>
                            </w:tcMar>
                          </w:tcPr>
                          <w:p w14:paraId="6FF999DB" w14:textId="77777777" w:rsidR="00340926" w:rsidRPr="009B2CE9" w:rsidRDefault="00340926" w:rsidP="009B2CE9">
                            <w:pPr>
                              <w:spacing w:line="312" w:lineRule="auto"/>
                              <w:rPr>
                                <w:rFonts w:ascii="Times New Roman" w:hAnsi="Times New Roman" w:cs="Times New Roman"/>
                                <w:sz w:val="8"/>
                                <w:szCs w:val="8"/>
                              </w:rPr>
                            </w:pPr>
                          </w:p>
                        </w:tc>
                        <w:tc>
                          <w:tcPr>
                            <w:tcW w:w="5184" w:type="dxa"/>
                            <w:tcBorders>
                              <w:top w:val="single" w:sz="12" w:space="0" w:color="4472C4"/>
                              <w:left w:val="nil"/>
                              <w:bottom w:val="single" w:sz="4" w:space="0" w:color="4472C4"/>
                              <w:right w:val="nil"/>
                            </w:tcBorders>
                            <w:tcMar>
                              <w:top w:w="57" w:type="dxa"/>
                              <w:bottom w:w="57" w:type="dxa"/>
                            </w:tcMar>
                          </w:tcPr>
                          <w:p w14:paraId="55905CCB" w14:textId="77777777" w:rsidR="00340926" w:rsidRPr="009B2CE9" w:rsidRDefault="00340926" w:rsidP="009B2CE9">
                            <w:pPr>
                              <w:spacing w:line="312" w:lineRule="auto"/>
                              <w:rPr>
                                <w:rFonts w:ascii="Times New Roman" w:hAnsi="Times New Roman" w:cs="Times New Roman"/>
                                <w:sz w:val="8"/>
                                <w:szCs w:val="8"/>
                              </w:rPr>
                            </w:pPr>
                          </w:p>
                        </w:tc>
                      </w:tr>
                      <w:tr w:rsidR="00340926" w:rsidRPr="004D7EA5" w14:paraId="2B79653A" w14:textId="77777777" w:rsidTr="009B2CE9">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5000EF43" w14:textId="6B9C2E65" w:rsidR="00340926" w:rsidRPr="009B2CE9" w:rsidRDefault="008A1735"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Сржне п</w:t>
                            </w:r>
                            <w:r w:rsidR="008E6037" w:rsidRPr="009B2CE9">
                              <w:rPr>
                                <w:rFonts w:ascii="Times New Roman" w:hAnsi="Times New Roman" w:cs="Times New Roman"/>
                                <w:lang w:val="sr-Cyrl-RS"/>
                              </w:rPr>
                              <w:t>ромене које је примена НОКС-а донела</w:t>
                            </w:r>
                          </w:p>
                        </w:tc>
                        <w:tc>
                          <w:tcPr>
                            <w:tcW w:w="5184" w:type="dxa"/>
                            <w:tcBorders>
                              <w:top w:val="single" w:sz="4" w:space="0" w:color="4472C4"/>
                              <w:left w:val="single" w:sz="2" w:space="0" w:color="000000"/>
                              <w:bottom w:val="single" w:sz="2" w:space="0" w:color="000000"/>
                              <w:right w:val="single" w:sz="12" w:space="0" w:color="4472C4"/>
                            </w:tcBorders>
                          </w:tcPr>
                          <w:p w14:paraId="4EE7BE39" w14:textId="0561DCC0" w:rsidR="00340926" w:rsidRPr="009B2CE9" w:rsidRDefault="008A1735" w:rsidP="009B2CE9">
                            <w:pPr>
                              <w:pStyle w:val="basic-paragraph"/>
                              <w:numPr>
                                <w:ilvl w:val="1"/>
                                <w:numId w:val="28"/>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 xml:space="preserve">Да ли је НОКС донео значајне промене у животе корисника? </w:t>
                            </w:r>
                            <w:r w:rsidR="00C46621" w:rsidRPr="009B2CE9">
                              <w:rPr>
                                <w:rStyle w:val="italik"/>
                                <w:rFonts w:ascii="Times New Roman" w:eastAsiaTheme="majorEastAsia" w:hAnsi="Times New Roman"/>
                                <w:lang w:val="sr-Cyrl-RS"/>
                              </w:rPr>
                              <w:t xml:space="preserve">Колике и какве </w:t>
                            </w:r>
                            <w:r w:rsidR="003630BB" w:rsidRPr="009B2CE9">
                              <w:rPr>
                                <w:rStyle w:val="italik"/>
                                <w:rFonts w:ascii="Times New Roman" w:eastAsiaTheme="majorEastAsia" w:hAnsi="Times New Roman"/>
                                <w:lang w:val="sr-Cyrl-RS"/>
                              </w:rPr>
                              <w:t xml:space="preserve">индиректне, консеквентне </w:t>
                            </w:r>
                            <w:r w:rsidR="00C46621" w:rsidRPr="009B2CE9">
                              <w:rPr>
                                <w:rStyle w:val="italik"/>
                                <w:rFonts w:ascii="Times New Roman" w:eastAsiaTheme="majorEastAsia" w:hAnsi="Times New Roman"/>
                                <w:lang w:val="sr-Cyrl-RS"/>
                              </w:rPr>
                              <w:t>промене и исходи су остварени на и</w:t>
                            </w:r>
                            <w:r w:rsidRPr="009B2CE9">
                              <w:rPr>
                                <w:rStyle w:val="italik"/>
                                <w:rFonts w:ascii="Times New Roman" w:eastAsiaTheme="majorEastAsia" w:hAnsi="Times New Roman"/>
                                <w:lang w:val="sr-Cyrl-RS"/>
                              </w:rPr>
                              <w:t>нд</w:t>
                            </w:r>
                            <w:r w:rsidR="00C46621" w:rsidRPr="009B2CE9">
                              <w:rPr>
                                <w:rStyle w:val="italik"/>
                                <w:rFonts w:ascii="Times New Roman" w:eastAsiaTheme="majorEastAsia" w:hAnsi="Times New Roman"/>
                                <w:lang w:val="sr-Cyrl-RS"/>
                              </w:rPr>
                              <w:t>ивидуалном, групном нивоу, нивоу заједнице</w:t>
                            </w:r>
                            <w:r w:rsidRPr="009B2CE9">
                              <w:rPr>
                                <w:rStyle w:val="italik"/>
                                <w:rFonts w:ascii="Times New Roman" w:eastAsiaTheme="majorEastAsia" w:hAnsi="Times New Roman"/>
                                <w:lang w:val="sr-Cyrl-RS"/>
                              </w:rPr>
                              <w:t xml:space="preserve">? Да ли је донео </w:t>
                            </w:r>
                            <w:r w:rsidR="00450DD6" w:rsidRPr="009B2CE9">
                              <w:rPr>
                                <w:rStyle w:val="italik"/>
                                <w:rFonts w:ascii="Times New Roman" w:eastAsiaTheme="majorEastAsia" w:hAnsi="Times New Roman"/>
                                <w:lang w:val="sr-Cyrl-RS"/>
                              </w:rPr>
                              <w:t xml:space="preserve">трајне </w:t>
                            </w:r>
                            <w:r w:rsidRPr="009B2CE9">
                              <w:rPr>
                                <w:rStyle w:val="italik"/>
                                <w:rFonts w:ascii="Times New Roman" w:eastAsiaTheme="majorEastAsia" w:hAnsi="Times New Roman"/>
                                <w:lang w:val="sr-Cyrl-RS"/>
                              </w:rPr>
                              <w:t>промене на нивоу норми или система</w:t>
                            </w:r>
                            <w:r w:rsidR="00C46621" w:rsidRPr="009B2CE9">
                              <w:rPr>
                                <w:rStyle w:val="italik"/>
                                <w:rFonts w:ascii="Times New Roman" w:eastAsiaTheme="majorEastAsia" w:hAnsi="Times New Roman"/>
                                <w:lang w:val="sr-Cyrl-RS"/>
                              </w:rPr>
                              <w:t>?</w:t>
                            </w:r>
                            <w:r w:rsidR="003630BB" w:rsidRPr="009B2CE9">
                              <w:rPr>
                                <w:rStyle w:val="italik"/>
                                <w:rFonts w:ascii="Times New Roman" w:eastAsiaTheme="majorEastAsia" w:hAnsi="Times New Roman"/>
                                <w:lang w:val="sr-Cyrl-RS"/>
                              </w:rPr>
                              <w:t xml:space="preserve"> Какви су ефекти политике на личну добробит, људска права, једнакост полова, окружење?</w:t>
                            </w:r>
                          </w:p>
                        </w:tc>
                      </w:tr>
                      <w:tr w:rsidR="00340926" w:rsidRPr="004D7EA5" w14:paraId="02037218" w14:textId="77777777" w:rsidTr="009B2CE9">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6B2D37B6" w14:textId="77777777" w:rsidR="00340926" w:rsidRPr="009B2CE9" w:rsidRDefault="00340926"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0BF328F" w14:textId="14997086" w:rsidR="00340926" w:rsidRPr="009B2CE9" w:rsidRDefault="00C46621" w:rsidP="009B2CE9">
                            <w:pPr>
                              <w:pStyle w:val="basic-paragraph"/>
                              <w:numPr>
                                <w:ilvl w:val="1"/>
                                <w:numId w:val="28"/>
                              </w:numPr>
                              <w:spacing w:before="0" w:beforeAutospacing="0" w:after="0" w:afterAutospacing="0" w:line="312" w:lineRule="auto"/>
                              <w:jc w:val="both"/>
                              <w:rPr>
                                <w:rFonts w:ascii="Times New Roman" w:eastAsiaTheme="majorEastAsia" w:hAnsi="Times New Roman"/>
                                <w:lang w:val="sr-Cyrl-RS"/>
                              </w:rPr>
                            </w:pPr>
                            <w:r w:rsidRPr="009B2CE9">
                              <w:rPr>
                                <w:rStyle w:val="italik"/>
                                <w:rFonts w:ascii="Times New Roman" w:eastAsiaTheme="majorEastAsia" w:hAnsi="Times New Roman"/>
                                <w:lang w:val="sr-Cyrl-RS"/>
                              </w:rPr>
                              <w:t>Које од тих промена се могу приписати политици, а које не</w:t>
                            </w:r>
                            <w:r w:rsidR="003630BB" w:rsidRPr="009B2CE9">
                              <w:rPr>
                                <w:rStyle w:val="italik"/>
                                <w:rFonts w:ascii="Times New Roman" w:eastAsiaTheme="majorEastAsia" w:hAnsi="Times New Roman"/>
                                <w:lang w:val="sr-Cyrl-RS"/>
                              </w:rPr>
                              <w:t>?</w:t>
                            </w:r>
                          </w:p>
                        </w:tc>
                      </w:tr>
                      <w:tr w:rsidR="00340926" w:rsidRPr="004D7EA5" w14:paraId="5FD39C5C"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593CA389" w14:textId="77777777" w:rsidR="00340926" w:rsidRPr="009B2CE9" w:rsidRDefault="00340926"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065AAE0B" w14:textId="5320B831" w:rsidR="00340926" w:rsidRPr="009B2CE9" w:rsidRDefault="00C46621" w:rsidP="009B2CE9">
                            <w:pPr>
                              <w:pStyle w:val="basic-paragraph"/>
                              <w:numPr>
                                <w:ilvl w:val="1"/>
                                <w:numId w:val="28"/>
                              </w:numPr>
                              <w:spacing w:before="0" w:beforeAutospacing="0" w:after="0" w:afterAutospacing="0" w:line="312" w:lineRule="auto"/>
                              <w:jc w:val="both"/>
                              <w:rPr>
                                <w:rFonts w:ascii="Times New Roman" w:eastAsiaTheme="majorEastAsia" w:hAnsi="Times New Roman"/>
                                <w:lang w:val="sr-Cyrl-RS"/>
                              </w:rPr>
                            </w:pPr>
                            <w:r w:rsidRPr="009B2CE9">
                              <w:rPr>
                                <w:rFonts w:ascii="Times New Roman" w:hAnsi="Times New Roman"/>
                                <w:lang w:val="sr-Cyrl-RS"/>
                              </w:rPr>
                              <w:t>Д</w:t>
                            </w:r>
                            <w:r w:rsidRPr="009B2CE9">
                              <w:rPr>
                                <w:rStyle w:val="italik"/>
                                <w:rFonts w:ascii="Times New Roman" w:eastAsiaTheme="majorEastAsia" w:hAnsi="Times New Roman"/>
                                <w:lang w:val="sr-Cyrl-RS"/>
                              </w:rPr>
                              <w:t xml:space="preserve">а ли је политика другачије утицала на различите групе, </w:t>
                            </w:r>
                            <w:r w:rsidR="00450DD6" w:rsidRPr="009B2CE9">
                              <w:rPr>
                                <w:rStyle w:val="italik"/>
                                <w:rFonts w:ascii="Times New Roman" w:eastAsiaTheme="majorEastAsia" w:hAnsi="Times New Roman"/>
                                <w:lang w:val="sr-Cyrl-RS"/>
                              </w:rPr>
                              <w:t xml:space="preserve">(укључујући и осетљиве), </w:t>
                            </w:r>
                            <w:r w:rsidRPr="009B2CE9">
                              <w:rPr>
                                <w:rStyle w:val="italik"/>
                                <w:rFonts w:ascii="Times New Roman" w:eastAsiaTheme="majorEastAsia" w:hAnsi="Times New Roman"/>
                                <w:lang w:val="sr-Cyrl-RS"/>
                              </w:rPr>
                              <w:t>ако јесте, како је утицала и зашто се то догодило?</w:t>
                            </w:r>
                          </w:p>
                        </w:tc>
                      </w:tr>
                      <w:tr w:rsidR="00340926" w:rsidRPr="004D7EA5" w14:paraId="216673D7"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54225062" w14:textId="77777777" w:rsidR="00340926" w:rsidRPr="009B2CE9" w:rsidRDefault="00340926" w:rsidP="009B2CE9">
                            <w:pPr>
                              <w:spacing w:line="312" w:lineRule="auto"/>
                              <w:rPr>
                                <w:rFonts w:ascii="Times New Roman" w:hAnsi="Times New Roman" w:cs="Times New Roman"/>
                                <w:lang w:val="sr-Cyrl-RS"/>
                              </w:rPr>
                            </w:pPr>
                          </w:p>
                        </w:tc>
                        <w:tc>
                          <w:tcPr>
                            <w:tcW w:w="5184" w:type="dxa"/>
                            <w:tcBorders>
                              <w:top w:val="single" w:sz="2" w:space="0" w:color="000000"/>
                              <w:left w:val="single" w:sz="2" w:space="0" w:color="000000"/>
                              <w:bottom w:val="single" w:sz="2" w:space="0" w:color="000000"/>
                              <w:right w:val="single" w:sz="12" w:space="0" w:color="4472C4"/>
                            </w:tcBorders>
                          </w:tcPr>
                          <w:p w14:paraId="4372AD12" w14:textId="18CBD7D6" w:rsidR="00340926" w:rsidRPr="009B2CE9" w:rsidRDefault="00C46621" w:rsidP="009B2CE9">
                            <w:pPr>
                              <w:pStyle w:val="basic-paragraph"/>
                              <w:numPr>
                                <w:ilvl w:val="1"/>
                                <w:numId w:val="28"/>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К</w:t>
                            </w:r>
                            <w:r w:rsidRPr="009B2CE9">
                              <w:rPr>
                                <w:rStyle w:val="italik"/>
                                <w:rFonts w:ascii="Times New Roman" w:eastAsiaTheme="majorEastAsia" w:hAnsi="Times New Roman"/>
                                <w:lang w:val="sr-Cyrl-RS"/>
                              </w:rPr>
                              <w:t>ако је ситуац</w:t>
                            </w:r>
                            <w:r w:rsidR="008E6037" w:rsidRPr="009B2CE9">
                              <w:rPr>
                                <w:rStyle w:val="italik"/>
                                <w:rFonts w:ascii="Times New Roman" w:eastAsiaTheme="majorEastAsia" w:hAnsi="Times New Roman"/>
                                <w:lang w:val="sr-Cyrl-RS"/>
                              </w:rPr>
                              <w:t>и</w:t>
                            </w:r>
                            <w:r w:rsidRPr="009B2CE9">
                              <w:rPr>
                                <w:rStyle w:val="italik"/>
                                <w:rFonts w:ascii="Times New Roman" w:eastAsiaTheme="majorEastAsia" w:hAnsi="Times New Roman"/>
                                <w:lang w:val="sr-Cyrl-RS"/>
                              </w:rPr>
                              <w:t xml:space="preserve">они и друштвени контекст утицао на </w:t>
                            </w:r>
                            <w:r w:rsidR="008E6037" w:rsidRPr="009B2CE9">
                              <w:rPr>
                                <w:rStyle w:val="italik"/>
                                <w:rFonts w:ascii="Times New Roman" w:eastAsiaTheme="majorEastAsia" w:hAnsi="Times New Roman"/>
                                <w:lang w:val="sr-Cyrl-RS"/>
                              </w:rPr>
                              <w:t>постигнуте промене</w:t>
                            </w:r>
                            <w:r w:rsidRPr="009B2CE9">
                              <w:rPr>
                                <w:rStyle w:val="italik"/>
                                <w:rFonts w:ascii="Times New Roman" w:eastAsiaTheme="majorEastAsia" w:hAnsi="Times New Roman"/>
                                <w:lang w:val="sr-Cyrl-RS"/>
                              </w:rPr>
                              <w:t>?</w:t>
                            </w:r>
                          </w:p>
                        </w:tc>
                      </w:tr>
                    </w:tbl>
                    <w:p w14:paraId="28D1C778" w14:textId="77777777" w:rsidR="00340926" w:rsidRPr="009B2CE9" w:rsidRDefault="00340926" w:rsidP="00340926">
                      <w:pPr>
                        <w:rPr>
                          <w:rFonts w:cs="Times New Roman"/>
                          <w:sz w:val="8"/>
                          <w:szCs w:val="8"/>
                          <w:lang w:val="sr-Cyrl-RS"/>
                        </w:rPr>
                      </w:pPr>
                      <w:r w:rsidRPr="009B2CE9">
                        <w:rPr>
                          <w:rFonts w:cs="Times New Roman"/>
                          <w:sz w:val="8"/>
                          <w:szCs w:val="8"/>
                          <w:lang w:val="sr-Cyrl-RS"/>
                        </w:rPr>
                        <w:t>ц</w:t>
                      </w:r>
                    </w:p>
                  </w:txbxContent>
                </v:textbox>
                <w10:anchorlock/>
              </v:shape>
            </w:pict>
          </mc:Fallback>
        </mc:AlternateContent>
      </w:r>
    </w:p>
    <w:p w14:paraId="28FF0B6D" w14:textId="77777777" w:rsidR="009B2CE9" w:rsidRDefault="009B2CE9">
      <w:pPr>
        <w:spacing w:line="240" w:lineRule="auto"/>
        <w:rPr>
          <w:rStyle w:val="italik"/>
          <w:rFonts w:eastAsiaTheme="majorEastAsia" w:cs="Times New Roman"/>
          <w:b/>
          <w:bCs/>
          <w:szCs w:val="24"/>
          <w:lang w:val="sr-Cyrl-RS"/>
        </w:rPr>
      </w:pPr>
      <w:r>
        <w:rPr>
          <w:rStyle w:val="italik"/>
          <w:rFonts w:eastAsiaTheme="majorEastAsia"/>
          <w:b/>
          <w:bCs/>
          <w:lang w:val="sr-Cyrl-RS"/>
        </w:rPr>
        <w:br w:type="page"/>
      </w:r>
    </w:p>
    <w:p w14:paraId="1456BB63" w14:textId="3DA61EF9" w:rsidR="00F711AE" w:rsidRPr="00884CF0" w:rsidRDefault="008E6037" w:rsidP="009B2CE9">
      <w:pPr>
        <w:pStyle w:val="Heading3"/>
        <w:rPr>
          <w:rStyle w:val="italik"/>
          <w:b w:val="0"/>
          <w:bCs w:val="0"/>
          <w:lang w:val="sr-Cyrl-RS"/>
        </w:rPr>
      </w:pPr>
      <w:bookmarkStart w:id="16" w:name="_Toc119880828"/>
      <w:r w:rsidRPr="00884CF0">
        <w:rPr>
          <w:rStyle w:val="italik"/>
          <w:lang w:val="sr-Cyrl-RS"/>
        </w:rPr>
        <w:lastRenderedPageBreak/>
        <w:t>Одрживост</w:t>
      </w:r>
      <w:bookmarkEnd w:id="16"/>
    </w:p>
    <w:p w14:paraId="70F5C30A" w14:textId="77777777" w:rsidR="00887C4A" w:rsidRPr="00884CF0" w:rsidRDefault="000F22E5" w:rsidP="009B2CE9">
      <w:pPr>
        <w:pStyle w:val="basic-paragraph"/>
        <w:spacing w:before="0" w:beforeAutospacing="0" w:after="0" w:afterAutospacing="0" w:line="360" w:lineRule="auto"/>
        <w:ind w:firstLine="720"/>
        <w:jc w:val="both"/>
        <w:rPr>
          <w:rStyle w:val="italik"/>
          <w:rFonts w:eastAsiaTheme="majorEastAsia"/>
          <w:lang w:val="sr-Cyrl-RS"/>
        </w:rPr>
      </w:pPr>
      <w:r w:rsidRPr="00884CF0">
        <w:rPr>
          <w:rStyle w:val="italik"/>
          <w:rFonts w:eastAsiaTheme="majorEastAsia"/>
          <w:lang w:val="sr-Cyrl-RS"/>
        </w:rPr>
        <w:t>Е</w:t>
      </w:r>
      <w:r w:rsidR="008E6037" w:rsidRPr="00884CF0">
        <w:rPr>
          <w:rStyle w:val="italik"/>
          <w:rFonts w:eastAsiaTheme="majorEastAsia"/>
          <w:lang w:val="sr-Cyrl-RS"/>
        </w:rPr>
        <w:t>валуација одрживости донеће податке о томе да ли се очекује да ће</w:t>
      </w:r>
      <w:r w:rsidR="00F711AE" w:rsidRPr="00884CF0">
        <w:rPr>
          <w:rStyle w:val="italik"/>
          <w:rFonts w:eastAsiaTheme="majorEastAsia"/>
          <w:lang w:val="sr-Cyrl-RS"/>
        </w:rPr>
        <w:t xml:space="preserve"> корист</w:t>
      </w:r>
      <w:r w:rsidR="001915C5" w:rsidRPr="00884CF0">
        <w:rPr>
          <w:rStyle w:val="italik"/>
          <w:rFonts w:eastAsiaTheme="majorEastAsia"/>
          <w:lang w:val="sr-Cyrl-RS"/>
        </w:rPr>
        <w:t xml:space="preserve">и НОКС-а </w:t>
      </w:r>
      <w:r w:rsidR="008E6037" w:rsidRPr="00884CF0">
        <w:rPr>
          <w:rStyle w:val="italik"/>
          <w:rFonts w:eastAsiaTheme="majorEastAsia"/>
          <w:lang w:val="sr-Cyrl-RS"/>
        </w:rPr>
        <w:t xml:space="preserve">да трају и након </w:t>
      </w:r>
      <w:r w:rsidR="001915C5" w:rsidRPr="00884CF0">
        <w:rPr>
          <w:rStyle w:val="italik"/>
          <w:rFonts w:eastAsiaTheme="majorEastAsia"/>
          <w:lang w:val="sr-Cyrl-RS"/>
        </w:rPr>
        <w:t>непосредног</w:t>
      </w:r>
      <w:r w:rsidR="008E6037" w:rsidRPr="00884CF0">
        <w:rPr>
          <w:rStyle w:val="italik"/>
          <w:rFonts w:eastAsiaTheme="majorEastAsia"/>
          <w:lang w:val="sr-Cyrl-RS"/>
        </w:rPr>
        <w:t xml:space="preserve"> спровођења</w:t>
      </w:r>
      <w:r w:rsidRPr="00884CF0">
        <w:rPr>
          <w:rStyle w:val="italik"/>
          <w:rFonts w:eastAsiaTheme="majorEastAsia"/>
          <w:lang w:val="sr-Cyrl-RS"/>
        </w:rPr>
        <w:t xml:space="preserve">, </w:t>
      </w:r>
      <w:r w:rsidR="00F711AE" w:rsidRPr="00884CF0">
        <w:rPr>
          <w:rStyle w:val="italik"/>
          <w:rFonts w:eastAsiaTheme="majorEastAsia"/>
          <w:lang w:val="sr-Cyrl-RS"/>
        </w:rPr>
        <w:t>у дужем временском периоду</w:t>
      </w:r>
      <w:r w:rsidR="001915C5" w:rsidRPr="00884CF0">
        <w:rPr>
          <w:rStyle w:val="italik"/>
          <w:rFonts w:eastAsiaTheme="majorEastAsia"/>
          <w:lang w:val="sr-Cyrl-RS"/>
        </w:rPr>
        <w:t xml:space="preserve">. Будући да је ова политика још увек у процесу спровођења, ове процене донеће се на основу процене капацитета кључних актера да се прилагоде променљивом контексту </w:t>
      </w:r>
      <w:r w:rsidR="00887C4A" w:rsidRPr="00884CF0">
        <w:rPr>
          <w:rStyle w:val="italik"/>
          <w:rFonts w:eastAsiaTheme="majorEastAsia"/>
          <w:lang w:val="sr-Cyrl-RS"/>
        </w:rPr>
        <w:t>у коме се она примењује.</w:t>
      </w:r>
    </w:p>
    <w:p w14:paraId="4E2D1846" w14:textId="49922035" w:rsidR="00D209B7" w:rsidRPr="00884CF0" w:rsidRDefault="00887C4A" w:rsidP="00887C4A">
      <w:pPr>
        <w:pStyle w:val="basic-paragraph"/>
        <w:spacing w:line="360" w:lineRule="auto"/>
        <w:jc w:val="both"/>
        <w:rPr>
          <w:rFonts w:eastAsiaTheme="majorEastAsia"/>
          <w:lang w:val="sr-Cyrl-RS"/>
        </w:rPr>
      </w:pPr>
      <w:r w:rsidRPr="00884CF0">
        <w:rPr>
          <w:rFonts w:ascii="Calibri" w:eastAsia="Calibri" w:hAnsi="Calibri" w:cs="Arial"/>
          <w:noProof/>
          <w:sz w:val="22"/>
          <w:szCs w:val="22"/>
        </w:rPr>
        <mc:AlternateContent>
          <mc:Choice Requires="wps">
            <w:drawing>
              <wp:inline distT="0" distB="0" distL="0" distR="0" wp14:anchorId="6310399B" wp14:editId="1E2888CA">
                <wp:extent cx="5553075" cy="4810125"/>
                <wp:effectExtent l="19050" t="1905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810125"/>
                        </a:xfrm>
                        <a:prstGeom prst="rect">
                          <a:avLst/>
                        </a:prstGeom>
                        <a:solidFill>
                          <a:srgbClr val="FFFFFF"/>
                        </a:solidFill>
                        <a:ln w="38100" cmpd="dbl">
                          <a:solidFill>
                            <a:srgbClr val="4472C4">
                              <a:lumMod val="100000"/>
                              <a:lumOff val="0"/>
                            </a:srgbClr>
                          </a:solidFill>
                          <a:miter lim="800000"/>
                          <a:headEnd/>
                          <a:tailEnd/>
                        </a:ln>
                      </wps:spPr>
                      <wps:txbx>
                        <w:txbxContent>
                          <w:tbl>
                            <w:tblPr>
                              <w:tblStyle w:val="TableGrid5"/>
                              <w:tblW w:w="8364" w:type="dxa"/>
                              <w:tblInd w:w="-3" w:type="dxa"/>
                              <w:tblCellMar>
                                <w:top w:w="113" w:type="dxa"/>
                                <w:bottom w:w="113" w:type="dxa"/>
                              </w:tblCellMar>
                              <w:tblLook w:val="04A0" w:firstRow="1" w:lastRow="0" w:firstColumn="1" w:lastColumn="0" w:noHBand="0" w:noVBand="1"/>
                            </w:tblPr>
                            <w:tblGrid>
                              <w:gridCol w:w="3321"/>
                              <w:gridCol w:w="5043"/>
                            </w:tblGrid>
                            <w:tr w:rsidR="00887C4A" w:rsidRPr="009B2CE9" w14:paraId="62F12135" w14:textId="77777777" w:rsidTr="009B2CE9">
                              <w:tc>
                                <w:tcPr>
                                  <w:tcW w:w="8364" w:type="dxa"/>
                                  <w:gridSpan w:val="2"/>
                                  <w:tcBorders>
                                    <w:top w:val="single" w:sz="2" w:space="0" w:color="4472C4"/>
                                    <w:left w:val="single" w:sz="2" w:space="0" w:color="4472C4"/>
                                    <w:bottom w:val="single" w:sz="12" w:space="0" w:color="4472C4"/>
                                    <w:right w:val="single" w:sz="12" w:space="0" w:color="4472C4"/>
                                  </w:tcBorders>
                                </w:tcPr>
                                <w:p w14:paraId="3C74ABD7" w14:textId="3A8EFFA1" w:rsidR="00887C4A" w:rsidRPr="009B2CE9" w:rsidRDefault="00887C4A" w:rsidP="009B2CE9">
                                  <w:pPr>
                                    <w:spacing w:line="312" w:lineRule="auto"/>
                                    <w:rPr>
                                      <w:rFonts w:ascii="Times New Roman" w:hAnsi="Times New Roman" w:cs="Times New Roman"/>
                                      <w:lang w:val="sr-Cyrl-RS"/>
                                    </w:rPr>
                                  </w:pPr>
                                  <w:r w:rsidRPr="009B2CE9">
                                    <w:rPr>
                                      <w:rFonts w:ascii="Times New Roman" w:hAnsi="Times New Roman" w:cs="Times New Roman"/>
                                      <w:lang w:val="sr-Cyrl-RS"/>
                                    </w:rPr>
                                    <w:t>Критеријум 5: ОДРЖИВОСТ</w:t>
                                  </w:r>
                                </w:p>
                              </w:tc>
                            </w:tr>
                            <w:tr w:rsidR="00887C4A" w:rsidRPr="009B2CE9" w14:paraId="2DFC75BF" w14:textId="77777777" w:rsidTr="009B2CE9">
                              <w:trPr>
                                <w:trHeight w:val="27"/>
                              </w:trPr>
                              <w:tc>
                                <w:tcPr>
                                  <w:tcW w:w="3321" w:type="dxa"/>
                                  <w:tcBorders>
                                    <w:top w:val="single" w:sz="12" w:space="0" w:color="4472C4"/>
                                    <w:left w:val="nil"/>
                                    <w:bottom w:val="single" w:sz="4" w:space="0" w:color="4472C4"/>
                                    <w:right w:val="nil"/>
                                  </w:tcBorders>
                                  <w:tcMar>
                                    <w:top w:w="57" w:type="dxa"/>
                                    <w:bottom w:w="57" w:type="dxa"/>
                                  </w:tcMar>
                                </w:tcPr>
                                <w:p w14:paraId="5793E0BE" w14:textId="77777777" w:rsidR="00887C4A" w:rsidRPr="009B2CE9" w:rsidRDefault="00887C4A" w:rsidP="009B2CE9">
                                  <w:pPr>
                                    <w:spacing w:line="312" w:lineRule="auto"/>
                                    <w:rPr>
                                      <w:rFonts w:ascii="Times New Roman" w:hAnsi="Times New Roman" w:cs="Times New Roman"/>
                                      <w:sz w:val="8"/>
                                      <w:szCs w:val="8"/>
                                    </w:rPr>
                                  </w:pPr>
                                </w:p>
                              </w:tc>
                              <w:tc>
                                <w:tcPr>
                                  <w:tcW w:w="5043" w:type="dxa"/>
                                  <w:tcBorders>
                                    <w:top w:val="single" w:sz="12" w:space="0" w:color="4472C4"/>
                                    <w:left w:val="nil"/>
                                    <w:bottom w:val="single" w:sz="4" w:space="0" w:color="4472C4"/>
                                    <w:right w:val="nil"/>
                                  </w:tcBorders>
                                  <w:tcMar>
                                    <w:top w:w="57" w:type="dxa"/>
                                    <w:bottom w:w="57" w:type="dxa"/>
                                  </w:tcMar>
                                </w:tcPr>
                                <w:p w14:paraId="5F21C7D7" w14:textId="77777777" w:rsidR="00887C4A" w:rsidRPr="009B2CE9" w:rsidRDefault="00887C4A" w:rsidP="009B2CE9">
                                  <w:pPr>
                                    <w:spacing w:line="312" w:lineRule="auto"/>
                                    <w:rPr>
                                      <w:rFonts w:ascii="Times New Roman" w:hAnsi="Times New Roman" w:cs="Times New Roman"/>
                                      <w:sz w:val="8"/>
                                      <w:szCs w:val="8"/>
                                    </w:rPr>
                                  </w:pPr>
                                </w:p>
                              </w:tc>
                            </w:tr>
                            <w:tr w:rsidR="00887C4A" w:rsidRPr="004D7EA5" w14:paraId="1BD9CF72" w14:textId="77777777" w:rsidTr="009B2CE9">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493DF6C7" w14:textId="0D4D2FA6" w:rsidR="00887C4A" w:rsidRPr="009B2CE9" w:rsidRDefault="00887C4A"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Да ли ће користи НОКС-а бити дугорочне?</w:t>
                                  </w:r>
                                </w:p>
                              </w:tc>
                              <w:tc>
                                <w:tcPr>
                                  <w:tcW w:w="5043" w:type="dxa"/>
                                  <w:tcBorders>
                                    <w:top w:val="single" w:sz="4" w:space="0" w:color="4472C4"/>
                                    <w:left w:val="single" w:sz="2" w:space="0" w:color="000000"/>
                                    <w:bottom w:val="single" w:sz="2" w:space="0" w:color="000000"/>
                                    <w:right w:val="single" w:sz="12" w:space="0" w:color="4472C4"/>
                                  </w:tcBorders>
                                </w:tcPr>
                                <w:p w14:paraId="69311AB0" w14:textId="45065E65" w:rsidR="00887C4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К</w:t>
                                  </w:r>
                                  <w:r w:rsidRPr="009B2CE9">
                                    <w:rPr>
                                      <w:rStyle w:val="italik"/>
                                      <w:rFonts w:ascii="Times New Roman" w:eastAsiaTheme="majorEastAsia" w:hAnsi="Times New Roman"/>
                                      <w:lang w:val="sr-Cyrl-RS"/>
                                    </w:rPr>
                                    <w:t>оја је вероватноћа да ће узимајући о обзир све карактеристике система НОКС-а и могућих промена у окружењу у ком се примењује, остварени резултати трајати у будућности?</w:t>
                                  </w:r>
                                </w:p>
                              </w:tc>
                            </w:tr>
                            <w:tr w:rsidR="00C6505A" w:rsidRPr="004D7EA5" w14:paraId="7A8B2F00" w14:textId="77777777" w:rsidTr="009B2CE9">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0DF80569" w14:textId="77777777" w:rsidR="00C6505A" w:rsidRPr="009B2CE9" w:rsidRDefault="00C6505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7EF43B12" w14:textId="7FEE640F" w:rsidR="00C6505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 xml:space="preserve">Да </w:t>
                                  </w:r>
                                  <w:r w:rsidRPr="00154BFA">
                                    <w:rPr>
                                      <w:rStyle w:val="italik"/>
                                      <w:rFonts w:ascii="Times New Roman" w:eastAsiaTheme="majorEastAsia" w:hAnsi="Times New Roman"/>
                                      <w:lang w:val="sr-Cyrl-RS"/>
                                    </w:rPr>
                                    <w:t>ли</w:t>
                                  </w:r>
                                  <w:r w:rsidRPr="009B2CE9">
                                    <w:rPr>
                                      <w:rFonts w:ascii="Times New Roman" w:hAnsi="Times New Roman"/>
                                      <w:lang w:val="sr-Cyrl-RS"/>
                                    </w:rPr>
                                    <w:t xml:space="preserve"> су финансијски и економски механизми успостављени у циљу дуготрајних и одрживих користи од конкретне јавне политике?</w:t>
                                  </w:r>
                                </w:p>
                              </w:tc>
                            </w:tr>
                            <w:tr w:rsidR="00C6505A" w:rsidRPr="004D7EA5" w14:paraId="6CA1A812"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489710CE" w14:textId="77777777" w:rsidR="00C6505A" w:rsidRPr="009B2CE9" w:rsidRDefault="00C6505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666C87C6" w14:textId="6E9F880F" w:rsidR="00C6505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Да ли се у оквиру важећег регулаторног оквира може омогућити трајније креирање користи од конкретне јавне политике?</w:t>
                                  </w:r>
                                </w:p>
                              </w:tc>
                            </w:tr>
                            <w:tr w:rsidR="00C6505A" w:rsidRPr="004D7EA5" w14:paraId="3E864661"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10B99F05" w14:textId="77777777" w:rsidR="00C6505A" w:rsidRPr="009B2CE9" w:rsidRDefault="00C6505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3C164C9F" w14:textId="6459C323" w:rsidR="00C6505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 xml:space="preserve">Да ли постоје одговарајући системски </w:t>
                                  </w:r>
                                  <w:r w:rsidRPr="00154BFA">
                                    <w:rPr>
                                      <w:rStyle w:val="italik"/>
                                      <w:rFonts w:ascii="Times New Roman" w:eastAsiaTheme="majorEastAsia" w:hAnsi="Times New Roman"/>
                                      <w:lang w:val="sr-Cyrl-RS"/>
                                    </w:rPr>
                                    <w:t>институционални</w:t>
                                  </w:r>
                                  <w:r w:rsidRPr="009B2CE9">
                                    <w:rPr>
                                      <w:rFonts w:ascii="Times New Roman" w:hAnsi="Times New Roman"/>
                                      <w:lang w:val="sr-Cyrl-RS"/>
                                    </w:rPr>
                                    <w:t xml:space="preserve"> капацитети за трајно одржавање позитивних ефеката НОКС-а?</w:t>
                                  </w:r>
                                </w:p>
                              </w:tc>
                            </w:tr>
                            <w:tr w:rsidR="00887C4A" w:rsidRPr="004D7EA5" w14:paraId="19897B89"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6CF2EA3" w14:textId="77777777" w:rsidR="00887C4A" w:rsidRPr="009B2CE9" w:rsidRDefault="00887C4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553CD378" w14:textId="037DBC13" w:rsidR="00887C4A" w:rsidRPr="009B2CE9" w:rsidRDefault="00887C4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К</w:t>
                                  </w:r>
                                  <w:r w:rsidRPr="009B2CE9">
                                    <w:rPr>
                                      <w:rStyle w:val="italik"/>
                                      <w:rFonts w:ascii="Times New Roman" w:eastAsiaTheme="majorEastAsia" w:hAnsi="Times New Roman"/>
                                      <w:lang w:val="sr-Cyrl-RS"/>
                                    </w:rPr>
                                    <w:t>оји други (несистемски) фактори (партнерства, знања, вештине) су обезбеђени како би се одржали резултати</w:t>
                                  </w:r>
                                  <w:r w:rsidR="00C6505A" w:rsidRPr="009B2CE9">
                                    <w:rPr>
                                      <w:rStyle w:val="italik"/>
                                      <w:rFonts w:ascii="Times New Roman" w:eastAsiaTheme="majorEastAsia" w:hAnsi="Times New Roman"/>
                                      <w:lang w:val="sr-Cyrl-RS"/>
                                    </w:rPr>
                                    <w:t xml:space="preserve"> НОКС-а</w:t>
                                  </w:r>
                                  <w:r w:rsidRPr="009B2CE9">
                                    <w:rPr>
                                      <w:rStyle w:val="italik"/>
                                      <w:rFonts w:ascii="Times New Roman" w:eastAsiaTheme="majorEastAsia" w:hAnsi="Times New Roman"/>
                                      <w:lang w:val="sr-Cyrl-RS"/>
                                    </w:rPr>
                                    <w:t>?</w:t>
                                  </w:r>
                                </w:p>
                              </w:tc>
                            </w:tr>
                          </w:tbl>
                          <w:p w14:paraId="34A7202A" w14:textId="5409D694" w:rsidR="00887C4A" w:rsidRPr="009B2CE9" w:rsidRDefault="00887C4A" w:rsidP="007620BB">
                            <w:pPr>
                              <w:ind w:firstLine="0"/>
                              <w:rPr>
                                <w:rFonts w:cs="Times New Roman"/>
                                <w:sz w:val="8"/>
                                <w:szCs w:val="8"/>
                                <w:lang w:val="sr-Cyrl-RS"/>
                              </w:rPr>
                            </w:pPr>
                          </w:p>
                        </w:txbxContent>
                      </wps:txbx>
                      <wps:bodyPr rot="0" vert="horz" wrap="square" lIns="91440" tIns="90000" rIns="180000" bIns="36000" anchor="t" anchorCtr="0" upright="1">
                        <a:noAutofit/>
                      </wps:bodyPr>
                    </wps:wsp>
                  </a:graphicData>
                </a:graphic>
              </wp:inline>
            </w:drawing>
          </mc:Choice>
          <mc:Fallback>
            <w:pict>
              <v:shape w14:anchorId="6310399B" id="_x0000_s1030" type="#_x0000_t202" style="width:437.2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" strokecolor="#4472c4" strokeweight="3pt">
                <v:stroke linestyle="thinThin"/>
                <v:textbox inset=",2.5mm,5mm,1mm">
                  <w:txbxContent>
                    <w:tbl>
                      <w:tblPr>
                        <w:tblStyle w:val="TableGrid5"/>
                        <w:tblW w:w="8364" w:type="dxa"/>
                        <w:tblInd w:w="-3" w:type="dxa"/>
                        <w:tblCellMar>
                          <w:top w:w="113" w:type="dxa"/>
                          <w:bottom w:w="113" w:type="dxa"/>
                        </w:tblCellMar>
                        <w:tblLook w:val="04A0" w:firstRow="1" w:lastRow="0" w:firstColumn="1" w:lastColumn="0" w:noHBand="0" w:noVBand="1"/>
                      </w:tblPr>
                      <w:tblGrid>
                        <w:gridCol w:w="3321"/>
                        <w:gridCol w:w="5043"/>
                      </w:tblGrid>
                      <w:tr w:rsidR="00887C4A" w:rsidRPr="009B2CE9" w14:paraId="62F12135" w14:textId="77777777" w:rsidTr="009B2CE9">
                        <w:tc>
                          <w:tcPr>
                            <w:tcW w:w="8364" w:type="dxa"/>
                            <w:gridSpan w:val="2"/>
                            <w:tcBorders>
                              <w:top w:val="single" w:sz="2" w:space="0" w:color="4472C4"/>
                              <w:left w:val="single" w:sz="2" w:space="0" w:color="4472C4"/>
                              <w:bottom w:val="single" w:sz="12" w:space="0" w:color="4472C4"/>
                              <w:right w:val="single" w:sz="12" w:space="0" w:color="4472C4"/>
                            </w:tcBorders>
                          </w:tcPr>
                          <w:p w14:paraId="3C74ABD7" w14:textId="3A8EFFA1" w:rsidR="00887C4A" w:rsidRPr="009B2CE9" w:rsidRDefault="00887C4A" w:rsidP="009B2CE9">
                            <w:pPr>
                              <w:spacing w:line="312" w:lineRule="auto"/>
                              <w:rPr>
                                <w:rFonts w:ascii="Times New Roman" w:hAnsi="Times New Roman" w:cs="Times New Roman"/>
                                <w:lang w:val="sr-Cyrl-RS"/>
                              </w:rPr>
                            </w:pPr>
                            <w:r w:rsidRPr="009B2CE9">
                              <w:rPr>
                                <w:rFonts w:ascii="Times New Roman" w:hAnsi="Times New Roman" w:cs="Times New Roman"/>
                                <w:lang w:val="sr-Cyrl-RS"/>
                              </w:rPr>
                              <w:t>Критеријум 5: ОДРЖИВОСТ</w:t>
                            </w:r>
                          </w:p>
                        </w:tc>
                      </w:tr>
                      <w:tr w:rsidR="00887C4A" w:rsidRPr="009B2CE9" w14:paraId="2DFC75BF" w14:textId="77777777" w:rsidTr="009B2CE9">
                        <w:trPr>
                          <w:trHeight w:val="27"/>
                        </w:trPr>
                        <w:tc>
                          <w:tcPr>
                            <w:tcW w:w="3321" w:type="dxa"/>
                            <w:tcBorders>
                              <w:top w:val="single" w:sz="12" w:space="0" w:color="4472C4"/>
                              <w:left w:val="nil"/>
                              <w:bottom w:val="single" w:sz="4" w:space="0" w:color="4472C4"/>
                              <w:right w:val="nil"/>
                            </w:tcBorders>
                            <w:tcMar>
                              <w:top w:w="57" w:type="dxa"/>
                              <w:bottom w:w="57" w:type="dxa"/>
                            </w:tcMar>
                          </w:tcPr>
                          <w:p w14:paraId="5793E0BE" w14:textId="77777777" w:rsidR="00887C4A" w:rsidRPr="009B2CE9" w:rsidRDefault="00887C4A" w:rsidP="009B2CE9">
                            <w:pPr>
                              <w:spacing w:line="312" w:lineRule="auto"/>
                              <w:rPr>
                                <w:rFonts w:ascii="Times New Roman" w:hAnsi="Times New Roman" w:cs="Times New Roman"/>
                                <w:sz w:val="8"/>
                                <w:szCs w:val="8"/>
                              </w:rPr>
                            </w:pPr>
                          </w:p>
                        </w:tc>
                        <w:tc>
                          <w:tcPr>
                            <w:tcW w:w="5043" w:type="dxa"/>
                            <w:tcBorders>
                              <w:top w:val="single" w:sz="12" w:space="0" w:color="4472C4"/>
                              <w:left w:val="nil"/>
                              <w:bottom w:val="single" w:sz="4" w:space="0" w:color="4472C4"/>
                              <w:right w:val="nil"/>
                            </w:tcBorders>
                            <w:tcMar>
                              <w:top w:w="57" w:type="dxa"/>
                              <w:bottom w:w="57" w:type="dxa"/>
                            </w:tcMar>
                          </w:tcPr>
                          <w:p w14:paraId="5F21C7D7" w14:textId="77777777" w:rsidR="00887C4A" w:rsidRPr="009B2CE9" w:rsidRDefault="00887C4A" w:rsidP="009B2CE9">
                            <w:pPr>
                              <w:spacing w:line="312" w:lineRule="auto"/>
                              <w:rPr>
                                <w:rFonts w:ascii="Times New Roman" w:hAnsi="Times New Roman" w:cs="Times New Roman"/>
                                <w:sz w:val="8"/>
                                <w:szCs w:val="8"/>
                              </w:rPr>
                            </w:pPr>
                          </w:p>
                        </w:tc>
                      </w:tr>
                      <w:tr w:rsidR="00887C4A" w:rsidRPr="004D7EA5" w14:paraId="1BD9CF72" w14:textId="77777777" w:rsidTr="009B2CE9">
                        <w:trPr>
                          <w:trHeight w:val="20"/>
                        </w:trPr>
                        <w:tc>
                          <w:tcPr>
                            <w:tcW w:w="3321" w:type="dxa"/>
                            <w:vMerge w:val="restart"/>
                            <w:tcBorders>
                              <w:top w:val="single" w:sz="4" w:space="0" w:color="4472C4"/>
                              <w:left w:val="single" w:sz="4" w:space="0" w:color="4472C4"/>
                              <w:bottom w:val="single" w:sz="2" w:space="0" w:color="000000"/>
                              <w:right w:val="single" w:sz="2" w:space="0" w:color="000000"/>
                            </w:tcBorders>
                          </w:tcPr>
                          <w:p w14:paraId="493DF6C7" w14:textId="0D4D2FA6" w:rsidR="00887C4A" w:rsidRPr="009B2CE9" w:rsidRDefault="00887C4A" w:rsidP="009B2CE9">
                            <w:pPr>
                              <w:spacing w:line="360" w:lineRule="auto"/>
                              <w:rPr>
                                <w:rFonts w:ascii="Times New Roman" w:hAnsi="Times New Roman" w:cs="Times New Roman"/>
                                <w:lang w:val="sr-Cyrl-RS"/>
                              </w:rPr>
                            </w:pPr>
                            <w:r w:rsidRPr="009B2CE9">
                              <w:rPr>
                                <w:rFonts w:ascii="Times New Roman" w:hAnsi="Times New Roman" w:cs="Times New Roman"/>
                                <w:lang w:val="sr-Cyrl-RS"/>
                              </w:rPr>
                              <w:t>Да ли ће користи НОКС-а бити дугорочне?</w:t>
                            </w:r>
                          </w:p>
                        </w:tc>
                        <w:tc>
                          <w:tcPr>
                            <w:tcW w:w="5043" w:type="dxa"/>
                            <w:tcBorders>
                              <w:top w:val="single" w:sz="4" w:space="0" w:color="4472C4"/>
                              <w:left w:val="single" w:sz="2" w:space="0" w:color="000000"/>
                              <w:bottom w:val="single" w:sz="2" w:space="0" w:color="000000"/>
                              <w:right w:val="single" w:sz="12" w:space="0" w:color="4472C4"/>
                            </w:tcBorders>
                          </w:tcPr>
                          <w:p w14:paraId="69311AB0" w14:textId="45065E65" w:rsidR="00887C4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К</w:t>
                            </w:r>
                            <w:r w:rsidRPr="009B2CE9">
                              <w:rPr>
                                <w:rStyle w:val="italik"/>
                                <w:rFonts w:ascii="Times New Roman" w:eastAsiaTheme="majorEastAsia" w:hAnsi="Times New Roman"/>
                                <w:lang w:val="sr-Cyrl-RS"/>
                              </w:rPr>
                              <w:t>оја је вероватноћа да ће узимајући о обзир све карактеристике система НОКС-а и могућих промена у окружењу у ком се примењује, остварени резултати трајати у будућности?</w:t>
                            </w:r>
                          </w:p>
                        </w:tc>
                      </w:tr>
                      <w:tr w:rsidR="00C6505A" w:rsidRPr="004D7EA5" w14:paraId="7A8B2F00" w14:textId="77777777" w:rsidTr="009B2CE9">
                        <w:trPr>
                          <w:trHeight w:val="177"/>
                        </w:trPr>
                        <w:tc>
                          <w:tcPr>
                            <w:tcW w:w="3321" w:type="dxa"/>
                            <w:vMerge/>
                            <w:tcBorders>
                              <w:top w:val="single" w:sz="2" w:space="0" w:color="000000"/>
                              <w:left w:val="single" w:sz="4" w:space="0" w:color="4472C4"/>
                              <w:bottom w:val="single" w:sz="2" w:space="0" w:color="000000"/>
                              <w:right w:val="single" w:sz="2" w:space="0" w:color="000000"/>
                            </w:tcBorders>
                          </w:tcPr>
                          <w:p w14:paraId="0DF80569" w14:textId="77777777" w:rsidR="00C6505A" w:rsidRPr="009B2CE9" w:rsidRDefault="00C6505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7EF43B12" w14:textId="7FEE640F" w:rsidR="00C6505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 xml:space="preserve">Да </w:t>
                            </w:r>
                            <w:r w:rsidRPr="00154BFA">
                              <w:rPr>
                                <w:rStyle w:val="italik"/>
                                <w:rFonts w:ascii="Times New Roman" w:eastAsiaTheme="majorEastAsia" w:hAnsi="Times New Roman"/>
                                <w:lang w:val="sr-Cyrl-RS"/>
                              </w:rPr>
                              <w:t>ли</w:t>
                            </w:r>
                            <w:r w:rsidRPr="009B2CE9">
                              <w:rPr>
                                <w:rFonts w:ascii="Times New Roman" w:hAnsi="Times New Roman"/>
                                <w:lang w:val="sr-Cyrl-RS"/>
                              </w:rPr>
                              <w:t xml:space="preserve"> су финансијски и економски механизми успостављени у циљу дуготрајних и одрживих користи од конкретне јавне политике?</w:t>
                            </w:r>
                          </w:p>
                        </w:tc>
                      </w:tr>
                      <w:tr w:rsidR="00C6505A" w:rsidRPr="004D7EA5" w14:paraId="6CA1A812"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489710CE" w14:textId="77777777" w:rsidR="00C6505A" w:rsidRPr="009B2CE9" w:rsidRDefault="00C6505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666C87C6" w14:textId="6E9F880F" w:rsidR="00C6505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Да ли се у оквиру важећег регулаторног оквира може омогућити трајније креирање користи од конкретне јавне политике?</w:t>
                            </w:r>
                          </w:p>
                        </w:tc>
                      </w:tr>
                      <w:tr w:rsidR="00C6505A" w:rsidRPr="004D7EA5" w14:paraId="3E864661"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10B99F05" w14:textId="77777777" w:rsidR="00C6505A" w:rsidRPr="009B2CE9" w:rsidRDefault="00C6505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3C164C9F" w14:textId="6459C323" w:rsidR="00C6505A" w:rsidRPr="009B2CE9" w:rsidRDefault="00C6505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 xml:space="preserve">Да ли постоје одговарајући системски </w:t>
                            </w:r>
                            <w:r w:rsidRPr="00154BFA">
                              <w:rPr>
                                <w:rStyle w:val="italik"/>
                                <w:rFonts w:ascii="Times New Roman" w:eastAsiaTheme="majorEastAsia" w:hAnsi="Times New Roman"/>
                                <w:lang w:val="sr-Cyrl-RS"/>
                              </w:rPr>
                              <w:t>институционални</w:t>
                            </w:r>
                            <w:r w:rsidRPr="009B2CE9">
                              <w:rPr>
                                <w:rFonts w:ascii="Times New Roman" w:hAnsi="Times New Roman"/>
                                <w:lang w:val="sr-Cyrl-RS"/>
                              </w:rPr>
                              <w:t xml:space="preserve"> капацитети за трајно одржавање позитивних ефеката НОКС-а?</w:t>
                            </w:r>
                          </w:p>
                        </w:tc>
                      </w:tr>
                      <w:tr w:rsidR="00887C4A" w:rsidRPr="004D7EA5" w14:paraId="19897B89" w14:textId="77777777" w:rsidTr="009B2CE9">
                        <w:trPr>
                          <w:trHeight w:val="70"/>
                        </w:trPr>
                        <w:tc>
                          <w:tcPr>
                            <w:tcW w:w="3321" w:type="dxa"/>
                            <w:vMerge/>
                            <w:tcBorders>
                              <w:top w:val="single" w:sz="2" w:space="0" w:color="000000"/>
                              <w:left w:val="single" w:sz="4" w:space="0" w:color="4472C4"/>
                              <w:bottom w:val="single" w:sz="2" w:space="0" w:color="000000"/>
                              <w:right w:val="single" w:sz="2" w:space="0" w:color="000000"/>
                            </w:tcBorders>
                          </w:tcPr>
                          <w:p w14:paraId="06CF2EA3" w14:textId="77777777" w:rsidR="00887C4A" w:rsidRPr="009B2CE9" w:rsidRDefault="00887C4A" w:rsidP="009B2CE9">
                            <w:pPr>
                              <w:spacing w:line="312" w:lineRule="auto"/>
                              <w:rPr>
                                <w:rFonts w:ascii="Times New Roman" w:hAnsi="Times New Roman" w:cs="Times New Roman"/>
                                <w:lang w:val="sr-Cyrl-RS"/>
                              </w:rPr>
                            </w:pPr>
                          </w:p>
                        </w:tc>
                        <w:tc>
                          <w:tcPr>
                            <w:tcW w:w="5043" w:type="dxa"/>
                            <w:tcBorders>
                              <w:top w:val="single" w:sz="2" w:space="0" w:color="000000"/>
                              <w:left w:val="single" w:sz="2" w:space="0" w:color="000000"/>
                              <w:bottom w:val="single" w:sz="2" w:space="0" w:color="000000"/>
                              <w:right w:val="single" w:sz="12" w:space="0" w:color="4472C4"/>
                            </w:tcBorders>
                          </w:tcPr>
                          <w:p w14:paraId="553CD378" w14:textId="037DBC13" w:rsidR="00887C4A" w:rsidRPr="009B2CE9" w:rsidRDefault="00887C4A" w:rsidP="009B2CE9">
                            <w:pPr>
                              <w:pStyle w:val="basic-paragraph"/>
                              <w:numPr>
                                <w:ilvl w:val="1"/>
                                <w:numId w:val="29"/>
                              </w:numPr>
                              <w:spacing w:before="0" w:beforeAutospacing="0" w:after="0" w:afterAutospacing="0" w:line="312" w:lineRule="auto"/>
                              <w:jc w:val="both"/>
                              <w:rPr>
                                <w:rFonts w:ascii="Times New Roman" w:hAnsi="Times New Roman"/>
                                <w:lang w:val="sr-Cyrl-RS"/>
                              </w:rPr>
                            </w:pPr>
                            <w:r w:rsidRPr="009B2CE9">
                              <w:rPr>
                                <w:rFonts w:ascii="Times New Roman" w:hAnsi="Times New Roman"/>
                                <w:lang w:val="sr-Cyrl-RS"/>
                              </w:rPr>
                              <w:t>К</w:t>
                            </w:r>
                            <w:r w:rsidRPr="009B2CE9">
                              <w:rPr>
                                <w:rStyle w:val="italik"/>
                                <w:rFonts w:ascii="Times New Roman" w:eastAsiaTheme="majorEastAsia" w:hAnsi="Times New Roman"/>
                                <w:lang w:val="sr-Cyrl-RS"/>
                              </w:rPr>
                              <w:t>оји други (несистемски) фактори (партнерства, знања, вештине) су обезбеђени како би се одржали резултати</w:t>
                            </w:r>
                            <w:r w:rsidR="00C6505A" w:rsidRPr="009B2CE9">
                              <w:rPr>
                                <w:rStyle w:val="italik"/>
                                <w:rFonts w:ascii="Times New Roman" w:eastAsiaTheme="majorEastAsia" w:hAnsi="Times New Roman"/>
                                <w:lang w:val="sr-Cyrl-RS"/>
                              </w:rPr>
                              <w:t xml:space="preserve"> НОКС-а</w:t>
                            </w:r>
                            <w:r w:rsidRPr="009B2CE9">
                              <w:rPr>
                                <w:rStyle w:val="italik"/>
                                <w:rFonts w:ascii="Times New Roman" w:eastAsiaTheme="majorEastAsia" w:hAnsi="Times New Roman"/>
                                <w:lang w:val="sr-Cyrl-RS"/>
                              </w:rPr>
                              <w:t>?</w:t>
                            </w:r>
                          </w:p>
                        </w:tc>
                      </w:tr>
                    </w:tbl>
                    <w:p w14:paraId="34A7202A" w14:textId="5409D694" w:rsidR="00887C4A" w:rsidRPr="009B2CE9" w:rsidRDefault="00887C4A" w:rsidP="007620BB">
                      <w:pPr>
                        <w:ind w:firstLine="0"/>
                        <w:rPr>
                          <w:rFonts w:cs="Times New Roman"/>
                          <w:sz w:val="8"/>
                          <w:szCs w:val="8"/>
                          <w:lang w:val="sr-Cyrl-RS"/>
                        </w:rPr>
                      </w:pPr>
                    </w:p>
                  </w:txbxContent>
                </v:textbox>
                <w10:anchorlock/>
              </v:shape>
            </w:pict>
          </mc:Fallback>
        </mc:AlternateContent>
      </w:r>
    </w:p>
    <w:p w14:paraId="689FE8FB" w14:textId="10DBD3DA" w:rsidR="00185675" w:rsidRPr="00884CF0" w:rsidRDefault="00C36C2F" w:rsidP="00DF3BDC">
      <w:pPr>
        <w:pStyle w:val="Heading2"/>
        <w:rPr>
          <w:lang w:val="sr-Cyrl-RS"/>
        </w:rPr>
      </w:pPr>
      <w:bookmarkStart w:id="17" w:name="_Toc119880829"/>
      <w:r w:rsidRPr="00884CF0">
        <w:rPr>
          <w:rStyle w:val="italik"/>
          <w:lang w:val="sr-Cyrl-RS"/>
        </w:rPr>
        <w:t>Подаци који ће бити коришћени</w:t>
      </w:r>
      <w:bookmarkEnd w:id="17"/>
    </w:p>
    <w:p w14:paraId="3E5E104C" w14:textId="21BDE276" w:rsidR="00D935A8" w:rsidRPr="00884CF0" w:rsidRDefault="00A31DB6" w:rsidP="007620BB">
      <w:pPr>
        <w:spacing w:line="360" w:lineRule="auto"/>
        <w:ind w:firstLine="720"/>
        <w:rPr>
          <w:lang w:val="sr-Cyrl-RS"/>
        </w:rPr>
      </w:pPr>
      <w:r w:rsidRPr="00884CF0">
        <w:rPr>
          <w:lang w:val="sr-Cyrl-RS"/>
        </w:rPr>
        <w:t xml:space="preserve">Евалуација ће бити спроведена кроз триангулацију података из различитих извора. </w:t>
      </w:r>
      <w:r w:rsidR="00FC0799" w:rsidRPr="00884CF0">
        <w:rPr>
          <w:lang w:val="sr-Cyrl-RS"/>
        </w:rPr>
        <w:t xml:space="preserve">За прикупљање података о наведеним критеријуима евалуације користиће се „микс метод“ који ће се ослањати на квалитативне и квантитативне изворе података. </w:t>
      </w:r>
    </w:p>
    <w:p w14:paraId="46BF29B0" w14:textId="77777777" w:rsidR="00A31DB6" w:rsidRPr="00884CF0" w:rsidRDefault="00A31DB6" w:rsidP="007620BB">
      <w:pPr>
        <w:spacing w:line="360" w:lineRule="auto"/>
        <w:ind w:firstLine="720"/>
        <w:rPr>
          <w:lang w:val="sr-Cyrl-RS"/>
        </w:rPr>
      </w:pPr>
    </w:p>
    <w:p w14:paraId="0FF481B1" w14:textId="5F812722" w:rsidR="00A31DB6" w:rsidRPr="00884CF0" w:rsidRDefault="00A31DB6" w:rsidP="007620BB">
      <w:pPr>
        <w:spacing w:line="360" w:lineRule="auto"/>
        <w:ind w:firstLine="720"/>
        <w:rPr>
          <w:lang w:val="sr-Cyrl-RS"/>
        </w:rPr>
      </w:pPr>
      <w:r w:rsidRPr="00884CF0">
        <w:rPr>
          <w:lang w:val="sr-Cyrl-RS"/>
        </w:rPr>
        <w:t>Следећи методи биће коришћени за прикупљање евалуативних података:</w:t>
      </w:r>
    </w:p>
    <w:p w14:paraId="78C735C4" w14:textId="6BCFC9A6" w:rsidR="00A31DB6" w:rsidRPr="00884CF0" w:rsidRDefault="00A31DB6" w:rsidP="007620BB">
      <w:pPr>
        <w:spacing w:line="360" w:lineRule="auto"/>
        <w:ind w:firstLine="720"/>
        <w:rPr>
          <w:lang w:val="sr-Cyrl-RS"/>
        </w:rPr>
      </w:pPr>
      <w:r w:rsidRPr="00884CF0">
        <w:rPr>
          <w:b/>
          <w:bCs/>
          <w:lang w:val="sr-Cyrl-RS"/>
        </w:rPr>
        <w:lastRenderedPageBreak/>
        <w:t>Деск истраживање</w:t>
      </w:r>
      <w:r w:rsidRPr="00884CF0">
        <w:rPr>
          <w:lang w:val="sr-Cyrl-RS"/>
        </w:rPr>
        <w:t xml:space="preserve"> релевантних докумената: постојећи административни подаци, званични извештаји о спровођењу активности, законски </w:t>
      </w:r>
      <w:r w:rsidR="00AD01F0" w:rsidRPr="00884CF0">
        <w:rPr>
          <w:lang w:val="sr-Cyrl-RS"/>
        </w:rPr>
        <w:t xml:space="preserve">и други нормативни </w:t>
      </w:r>
      <w:r w:rsidRPr="00884CF0">
        <w:rPr>
          <w:lang w:val="sr-Cyrl-RS"/>
        </w:rPr>
        <w:t xml:space="preserve">документи и сл. </w:t>
      </w:r>
    </w:p>
    <w:p w14:paraId="14BD5A78" w14:textId="0C301C68" w:rsidR="00A31DB6" w:rsidRPr="00884CF0" w:rsidRDefault="00AD01F0" w:rsidP="007620BB">
      <w:pPr>
        <w:spacing w:line="360" w:lineRule="auto"/>
        <w:ind w:firstLine="720"/>
        <w:rPr>
          <w:lang w:val="sr-Cyrl-RS"/>
        </w:rPr>
      </w:pPr>
      <w:r w:rsidRPr="00884CF0">
        <w:rPr>
          <w:b/>
          <w:bCs/>
          <w:lang w:val="sr-Cyrl-RS"/>
        </w:rPr>
        <w:t>Квантитативн</w:t>
      </w:r>
      <w:r w:rsidR="00966D33" w:rsidRPr="00884CF0">
        <w:rPr>
          <w:b/>
          <w:bCs/>
          <w:lang w:val="sr-Cyrl-RS"/>
        </w:rPr>
        <w:t>а</w:t>
      </w:r>
      <w:r w:rsidRPr="00884CF0">
        <w:rPr>
          <w:b/>
          <w:bCs/>
          <w:lang w:val="sr-Cyrl-RS"/>
        </w:rPr>
        <w:t xml:space="preserve"> анализа</w:t>
      </w:r>
      <w:r w:rsidRPr="00884CF0">
        <w:rPr>
          <w:lang w:val="sr-Cyrl-RS"/>
        </w:rPr>
        <w:t xml:space="preserve"> података </w:t>
      </w:r>
      <w:r w:rsidR="001E6D41" w:rsidRPr="00884CF0">
        <w:rPr>
          <w:lang w:val="sr-Cyrl-RS"/>
        </w:rPr>
        <w:t>добијених из званичних статистичких података или других база података коришћених да се квантитативно изразе поједини специфични циљеви и исходи НОКС-а, као што су стопе, проценти, трендови итд.</w:t>
      </w:r>
      <w:r w:rsidR="00702C2D" w:rsidRPr="00884CF0">
        <w:rPr>
          <w:lang w:val="sr-Cyrl-RS"/>
        </w:rPr>
        <w:t xml:space="preserve"> Као извори података предвиђају се: ЈИСП, постојећи административни извори података (ЦРОСО, Републичког завода за статистику Србије, НСЗ, отворени подаци о индикаторима одрживог развоја које прикупља Еуростат (индикатори квалитаета образовања) и сл.)</w:t>
      </w:r>
    </w:p>
    <w:p w14:paraId="760775FB" w14:textId="24034D1B" w:rsidR="001E6D41" w:rsidRPr="00884CF0" w:rsidRDefault="001E6D41" w:rsidP="007620BB">
      <w:pPr>
        <w:spacing w:line="360" w:lineRule="auto"/>
        <w:ind w:firstLine="720"/>
        <w:rPr>
          <w:lang w:val="sr-Cyrl-RS"/>
        </w:rPr>
      </w:pPr>
      <w:r w:rsidRPr="00884CF0">
        <w:rPr>
          <w:b/>
          <w:bCs/>
          <w:lang w:val="sr-Cyrl-RS"/>
        </w:rPr>
        <w:t>Индивидуални интервјуи</w:t>
      </w:r>
      <w:r w:rsidRPr="00884CF0">
        <w:rPr>
          <w:lang w:val="sr-Cyrl-RS"/>
        </w:rPr>
        <w:t xml:space="preserve"> са </w:t>
      </w:r>
      <w:r w:rsidR="00F147F8" w:rsidRPr="00884CF0">
        <w:rPr>
          <w:lang w:val="sr-Cyrl-RS"/>
        </w:rPr>
        <w:t xml:space="preserve">кључним </w:t>
      </w:r>
      <w:r w:rsidRPr="00884CF0">
        <w:rPr>
          <w:lang w:val="sr-Cyrl-RS"/>
        </w:rPr>
        <w:t xml:space="preserve">представницима заинтересованих страна </w:t>
      </w:r>
      <w:r w:rsidR="00F147F8" w:rsidRPr="00884CF0">
        <w:rPr>
          <w:lang w:val="sr-Cyrl-RS"/>
        </w:rPr>
        <w:t>који су учествовали у креирању и спровођењу НОКС-а. Индивидуални интервјуи</w:t>
      </w:r>
      <w:r w:rsidR="00D71DF7" w:rsidRPr="00884CF0">
        <w:rPr>
          <w:lang w:val="sr-Cyrl-RS"/>
        </w:rPr>
        <w:t xml:space="preserve"> се спроводе како би се реконструисао и проценио процес спровођења политике, добили подаци о контексту, стимулативним или ометајућим факторима реализације НОКС-а, лична искуства и перцепције.</w:t>
      </w:r>
      <w:r w:rsidR="00966D33" w:rsidRPr="00884CF0">
        <w:rPr>
          <w:lang w:val="sr-Cyrl-RS"/>
        </w:rPr>
        <w:t xml:space="preserve"> Планирано је спровођење 3 дубинска интервјуа са представницима кључних актера имплеметнације НОКС-а: АЗК, МПНТР, Савет за НОКС</w:t>
      </w:r>
    </w:p>
    <w:p w14:paraId="49CC55A1" w14:textId="1E46F948" w:rsidR="00966D33" w:rsidRPr="00884CF0" w:rsidRDefault="00DF3BDC" w:rsidP="007620BB">
      <w:pPr>
        <w:spacing w:line="360" w:lineRule="auto"/>
        <w:ind w:firstLine="720"/>
        <w:rPr>
          <w:lang w:val="sr-Cyrl-RS"/>
        </w:rPr>
      </w:pPr>
      <w:r>
        <w:rPr>
          <w:b/>
          <w:bCs/>
          <w:lang w:val="sr-Cyrl-RS"/>
        </w:rPr>
        <w:t>Ф</w:t>
      </w:r>
      <w:r w:rsidR="00D71DF7" w:rsidRPr="00884CF0">
        <w:rPr>
          <w:b/>
          <w:bCs/>
          <w:lang w:val="sr-Cyrl-RS"/>
        </w:rPr>
        <w:t>окус групне дискусије</w:t>
      </w:r>
      <w:r w:rsidR="00D71DF7" w:rsidRPr="00884CF0">
        <w:rPr>
          <w:lang w:val="sr-Cyrl-RS"/>
        </w:rPr>
        <w:t xml:space="preserve">, </w:t>
      </w:r>
      <w:r w:rsidR="0006387C" w:rsidRPr="00884CF0">
        <w:rPr>
          <w:lang w:val="sr-Cyrl-RS"/>
        </w:rPr>
        <w:t>како би се кроз размену ставова и искустава добили подаци о евалуативним критеријумима и питањима</w:t>
      </w:r>
      <w:r w:rsidR="00966D33" w:rsidRPr="00884CF0">
        <w:rPr>
          <w:lang w:val="sr-Cyrl-RS"/>
        </w:rPr>
        <w:t xml:space="preserve"> спроведени са</w:t>
      </w:r>
      <w:r w:rsidR="00656304" w:rsidRPr="00884CF0">
        <w:rPr>
          <w:lang w:val="sr-Cyrl-RS"/>
        </w:rPr>
        <w:t xml:space="preserve"> представницима</w:t>
      </w:r>
      <w:r w:rsidR="00966D33" w:rsidRPr="00884CF0">
        <w:rPr>
          <w:lang w:val="sr-Cyrl-RS"/>
        </w:rPr>
        <w:t xml:space="preserve">: </w:t>
      </w:r>
    </w:p>
    <w:p w14:paraId="765E2051" w14:textId="77777777" w:rsidR="00656304" w:rsidRPr="00884CF0" w:rsidRDefault="00966D33" w:rsidP="007620BB">
      <w:pPr>
        <w:pStyle w:val="ListParagraph"/>
        <w:numPr>
          <w:ilvl w:val="0"/>
          <w:numId w:val="25"/>
        </w:numPr>
        <w:spacing w:after="0" w:line="360" w:lineRule="auto"/>
        <w:rPr>
          <w:rFonts w:ascii="Times New Roman" w:hAnsi="Times New Roman" w:cs="Times New Roman"/>
          <w:sz w:val="24"/>
          <w:szCs w:val="24"/>
          <w:lang w:val="sr-Cyrl-RS"/>
        </w:rPr>
      </w:pPr>
      <w:r w:rsidRPr="00884CF0">
        <w:rPr>
          <w:rFonts w:ascii="Times New Roman" w:hAnsi="Times New Roman" w:cs="Times New Roman"/>
          <w:sz w:val="24"/>
          <w:szCs w:val="24"/>
          <w:lang w:val="sr-Cyrl-RS"/>
        </w:rPr>
        <w:t>Секторских већа</w:t>
      </w:r>
    </w:p>
    <w:p w14:paraId="63DD4ABC" w14:textId="698C574A" w:rsidR="00656304" w:rsidRPr="00884CF0" w:rsidRDefault="00D71DF7" w:rsidP="007620BB">
      <w:pPr>
        <w:pStyle w:val="ListParagraph"/>
        <w:numPr>
          <w:ilvl w:val="0"/>
          <w:numId w:val="25"/>
        </w:numPr>
        <w:spacing w:after="0" w:line="360" w:lineRule="auto"/>
        <w:rPr>
          <w:rFonts w:ascii="Times New Roman" w:hAnsi="Times New Roman" w:cs="Times New Roman"/>
          <w:sz w:val="24"/>
          <w:szCs w:val="24"/>
          <w:lang w:val="sr-Cyrl-RS"/>
        </w:rPr>
      </w:pPr>
      <w:r w:rsidRPr="00884CF0">
        <w:rPr>
          <w:rFonts w:ascii="Times New Roman" w:hAnsi="Times New Roman" w:cs="Times New Roman"/>
          <w:sz w:val="24"/>
          <w:szCs w:val="24"/>
          <w:lang w:val="sr-Cyrl-RS"/>
        </w:rPr>
        <w:t>образовних институција</w:t>
      </w:r>
    </w:p>
    <w:p w14:paraId="26F8E732" w14:textId="47FDAF3D" w:rsidR="00966D33" w:rsidRPr="00884CF0" w:rsidRDefault="00D71DF7" w:rsidP="007620BB">
      <w:pPr>
        <w:pStyle w:val="ListParagraph"/>
        <w:numPr>
          <w:ilvl w:val="0"/>
          <w:numId w:val="25"/>
        </w:numPr>
        <w:spacing w:after="0" w:line="360" w:lineRule="auto"/>
        <w:rPr>
          <w:rFonts w:ascii="Times New Roman" w:hAnsi="Times New Roman" w:cs="Times New Roman"/>
          <w:sz w:val="24"/>
          <w:szCs w:val="24"/>
          <w:lang w:val="sr-Cyrl-RS"/>
        </w:rPr>
      </w:pPr>
      <w:r w:rsidRPr="00884CF0">
        <w:rPr>
          <w:rFonts w:ascii="Times New Roman" w:hAnsi="Times New Roman" w:cs="Times New Roman"/>
          <w:sz w:val="24"/>
          <w:szCs w:val="24"/>
          <w:lang w:val="sr-Cyrl-RS"/>
        </w:rPr>
        <w:t>социјалних партнера</w:t>
      </w:r>
      <w:r w:rsidR="00966D33" w:rsidRPr="00884CF0">
        <w:rPr>
          <w:rFonts w:ascii="Times New Roman" w:hAnsi="Times New Roman" w:cs="Times New Roman"/>
          <w:sz w:val="24"/>
          <w:szCs w:val="24"/>
          <w:lang w:val="sr-Cyrl-RS"/>
        </w:rPr>
        <w:t xml:space="preserve"> (ПКС, удружења послодаваца и Синдиката)</w:t>
      </w:r>
    </w:p>
    <w:p w14:paraId="25275B70" w14:textId="38F25371" w:rsidR="00D71DF7" w:rsidRPr="00884CF0" w:rsidRDefault="00D71DF7" w:rsidP="007620BB">
      <w:pPr>
        <w:spacing w:line="360" w:lineRule="auto"/>
        <w:ind w:firstLine="720"/>
        <w:rPr>
          <w:lang w:val="sr-Cyrl-RS"/>
        </w:rPr>
      </w:pPr>
      <w:r w:rsidRPr="00884CF0">
        <w:rPr>
          <w:b/>
          <w:bCs/>
          <w:lang w:val="sr-Cyrl-RS"/>
        </w:rPr>
        <w:t>Анкета</w:t>
      </w:r>
      <w:r w:rsidRPr="00884CF0">
        <w:rPr>
          <w:lang w:val="sr-Cyrl-RS"/>
        </w:rPr>
        <w:t xml:space="preserve"> </w:t>
      </w:r>
      <w:r w:rsidR="00E871E7" w:rsidRPr="00884CF0">
        <w:rPr>
          <w:lang w:val="sr-Cyrl-RS"/>
        </w:rPr>
        <w:t xml:space="preserve">чија је сврха да прикупи додатне податке </w:t>
      </w:r>
      <w:r w:rsidR="00314219" w:rsidRPr="00884CF0">
        <w:rPr>
          <w:lang w:val="sr-Cyrl-RS"/>
        </w:rPr>
        <w:t xml:space="preserve">о </w:t>
      </w:r>
      <w:r w:rsidR="00E871E7" w:rsidRPr="00884CF0">
        <w:rPr>
          <w:lang w:val="sr-Cyrl-RS"/>
        </w:rPr>
        <w:t>ефективности и ефикасности НОКС-а, која се спроводи</w:t>
      </w:r>
      <w:r w:rsidRPr="00884CF0">
        <w:rPr>
          <w:lang w:val="sr-Cyrl-RS"/>
        </w:rPr>
        <w:t xml:space="preserve"> међу</w:t>
      </w:r>
      <w:r w:rsidR="00F147F8" w:rsidRPr="00884CF0">
        <w:rPr>
          <w:lang w:val="sr-Cyrl-RS"/>
        </w:rPr>
        <w:t xml:space="preserve"> заинтересованим странама</w:t>
      </w:r>
      <w:r w:rsidR="00E871E7" w:rsidRPr="00884CF0">
        <w:rPr>
          <w:lang w:val="sr-Cyrl-RS"/>
        </w:rPr>
        <w:t xml:space="preserve"> и корисницима</w:t>
      </w:r>
      <w:r w:rsidR="00F147F8" w:rsidRPr="00884CF0">
        <w:rPr>
          <w:lang w:val="sr-Cyrl-RS"/>
        </w:rPr>
        <w:t xml:space="preserve"> НО</w:t>
      </w:r>
      <w:r w:rsidR="001304B9" w:rsidRPr="00884CF0">
        <w:rPr>
          <w:lang w:val="sr-Cyrl-RS"/>
        </w:rPr>
        <w:t>КС</w:t>
      </w:r>
      <w:r w:rsidR="00F147F8" w:rsidRPr="00884CF0">
        <w:rPr>
          <w:lang w:val="sr-Cyrl-RS"/>
        </w:rPr>
        <w:t>-а који нису нужно били укључени у креирање и спровођење политике</w:t>
      </w:r>
      <w:r w:rsidR="00E871E7" w:rsidRPr="00884CF0">
        <w:rPr>
          <w:lang w:val="sr-Cyrl-RS"/>
        </w:rPr>
        <w:t>,</w:t>
      </w:r>
      <w:r w:rsidR="001304B9" w:rsidRPr="00884CF0">
        <w:rPr>
          <w:lang w:val="sr-Cyrl-RS"/>
        </w:rPr>
        <w:t xml:space="preserve"> али </w:t>
      </w:r>
      <w:r w:rsidR="00E871E7" w:rsidRPr="00884CF0">
        <w:rPr>
          <w:lang w:val="sr-Cyrl-RS"/>
        </w:rPr>
        <w:t>на које квалитет и бидућност НОКС-а непосредно утиче.</w:t>
      </w:r>
      <w:r w:rsidR="00314219" w:rsidRPr="00884CF0">
        <w:rPr>
          <w:lang w:val="sr-Cyrl-RS"/>
        </w:rPr>
        <w:t xml:space="preserve"> У оквиру анкете адресираће се задовољство спровођењем и ефектима НОКС-а</w:t>
      </w:r>
      <w:r w:rsidR="00D95F61" w:rsidRPr="00884CF0">
        <w:rPr>
          <w:lang w:val="sr-Cyrl-RS"/>
        </w:rPr>
        <w:t xml:space="preserve"> </w:t>
      </w:r>
      <w:r w:rsidR="00D95F61" w:rsidRPr="00884CF0">
        <w:rPr>
          <w:rStyle w:val="italik"/>
          <w:rFonts w:eastAsiaTheme="majorEastAsia"/>
          <w:lang w:val="sr-Cyrl-RS"/>
        </w:rPr>
        <w:t>кроз испитивање димензија квалитета живота, друштвене и грађанске укључености и ангажованости. Ове димензије биће захваћене питањима која ће бити формулисана на основу сугестија из интервјуа са кључним саговорницима</w:t>
      </w:r>
      <w:r w:rsidR="00D95F61" w:rsidRPr="00884CF0">
        <w:rPr>
          <w:lang w:val="sr-Cyrl-RS"/>
        </w:rPr>
        <w:t>.</w:t>
      </w:r>
      <w:r w:rsidR="00314219" w:rsidRPr="00884CF0">
        <w:rPr>
          <w:lang w:val="sr-Cyrl-RS"/>
        </w:rPr>
        <w:t xml:space="preserve"> </w:t>
      </w:r>
      <w:r w:rsidR="00D95F61" w:rsidRPr="00884CF0">
        <w:rPr>
          <w:lang w:val="sr-Cyrl-RS"/>
        </w:rPr>
        <w:t>Предвиђени узорак чиниће представници ученичких и студентских парламената, омладинских организација, цивилног сектора.</w:t>
      </w:r>
    </w:p>
    <w:p w14:paraId="4377D883" w14:textId="67B9F7D9" w:rsidR="00366125" w:rsidRPr="00884CF0" w:rsidRDefault="00366125" w:rsidP="007620BB">
      <w:pPr>
        <w:spacing w:line="360" w:lineRule="auto"/>
        <w:ind w:firstLine="720"/>
        <w:rPr>
          <w:lang w:val="sr-Cyrl-RS"/>
        </w:rPr>
      </w:pPr>
    </w:p>
    <w:p w14:paraId="3ED94BCA" w14:textId="77777777" w:rsidR="00366125" w:rsidRPr="00884CF0" w:rsidRDefault="00366125" w:rsidP="007620BB">
      <w:pPr>
        <w:pStyle w:val="Heading2"/>
        <w:rPr>
          <w:rStyle w:val="italik"/>
          <w:lang w:val="sr-Cyrl-RS"/>
        </w:rPr>
      </w:pPr>
      <w:bookmarkStart w:id="18" w:name="_Toc119880830"/>
      <w:r w:rsidRPr="00884CF0">
        <w:rPr>
          <w:rStyle w:val="italik"/>
          <w:lang w:val="sr-Cyrl-RS"/>
        </w:rPr>
        <w:lastRenderedPageBreak/>
        <w:t>Ресурси потребни за евалуацију</w:t>
      </w:r>
      <w:bookmarkEnd w:id="18"/>
    </w:p>
    <w:p w14:paraId="313D68B7" w14:textId="4C297049" w:rsidR="00366125" w:rsidRPr="00884CF0" w:rsidRDefault="00366125" w:rsidP="00366125">
      <w:pPr>
        <w:spacing w:line="360" w:lineRule="auto"/>
        <w:rPr>
          <w:lang w:val="sr-Cyrl-RS"/>
        </w:rPr>
      </w:pPr>
      <w:r w:rsidRPr="00884CF0">
        <w:rPr>
          <w:lang w:val="sr-Cyrl-RS"/>
        </w:rPr>
        <w:t xml:space="preserve">За спровођење евалуације за обезбеђивање </w:t>
      </w:r>
      <w:r w:rsidR="007620BB" w:rsidRPr="00884CF0">
        <w:rPr>
          <w:lang w:val="sr-Cyrl-RS"/>
        </w:rPr>
        <w:t>аналитичких</w:t>
      </w:r>
      <w:r w:rsidRPr="00884CF0">
        <w:rPr>
          <w:lang w:val="sr-Cyrl-RS"/>
        </w:rPr>
        <w:t xml:space="preserve"> подлога  примарно ће бити коришћени ресурси </w:t>
      </w:r>
      <w:r w:rsidR="007620BB" w:rsidRPr="00884CF0">
        <w:rPr>
          <w:lang w:val="sr-Cyrl-RS"/>
        </w:rPr>
        <w:t>успостављени</w:t>
      </w:r>
      <w:r w:rsidRPr="00884CF0">
        <w:rPr>
          <w:lang w:val="sr-Cyrl-RS"/>
        </w:rPr>
        <w:t xml:space="preserve"> на нивоу институција (МПНТР, АЗК). У одређеним сегментима евалуације, ради постизања објективне слике о спровођењу и ефектима НОКС-а, вредновање ће бити спроведено екстерно, ангажовањем екстерних евалуатора, уз израду адекватног пројектног задатка за евалуацију заснованог на предложеној Методологији, који ће ангажованим стручњацима појаснити питања везана за разлог, циљ, обухват евалуације, избор методологије, ток евалуације, време и буџет. </w:t>
      </w:r>
    </w:p>
    <w:p w14:paraId="64662D00" w14:textId="77777777" w:rsidR="00366125" w:rsidRPr="00884CF0" w:rsidRDefault="00366125" w:rsidP="00D95F61">
      <w:pPr>
        <w:spacing w:line="360" w:lineRule="auto"/>
        <w:ind w:firstLine="720"/>
        <w:rPr>
          <w:lang w:val="sr-Cyrl-RS"/>
        </w:rPr>
      </w:pPr>
    </w:p>
    <w:p w14:paraId="0D8F6913" w14:textId="0BCB3847" w:rsidR="00511B43" w:rsidRDefault="00511B43">
      <w:pPr>
        <w:spacing w:line="240" w:lineRule="auto"/>
        <w:rPr>
          <w:lang w:val="sr-Cyrl-RS"/>
        </w:rPr>
      </w:pPr>
      <w:r>
        <w:rPr>
          <w:lang w:val="sr-Cyrl-RS"/>
        </w:rPr>
        <w:br w:type="page"/>
      </w:r>
    </w:p>
    <w:p w14:paraId="52A5980A" w14:textId="3E990250" w:rsidR="00266049" w:rsidRPr="00884CF0" w:rsidRDefault="005C1F48" w:rsidP="007620BB">
      <w:pPr>
        <w:pStyle w:val="Heading1"/>
        <w:rPr>
          <w:rFonts w:eastAsia="Times New Roman"/>
          <w:lang w:val="sr-Cyrl-RS"/>
        </w:rPr>
      </w:pPr>
      <w:bookmarkStart w:id="19" w:name="_Toc119880831"/>
      <w:bookmarkStart w:id="20" w:name="_Hlk119871834"/>
      <w:r w:rsidRPr="00884CF0">
        <w:rPr>
          <w:rFonts w:eastAsia="Times New Roman"/>
          <w:lang w:val="sr-Cyrl-RS"/>
        </w:rPr>
        <w:lastRenderedPageBreak/>
        <w:t>Библиографија</w:t>
      </w:r>
      <w:bookmarkEnd w:id="19"/>
    </w:p>
    <w:bookmarkEnd w:id="20"/>
    <w:p w14:paraId="795166F1" w14:textId="77777777" w:rsidR="00E820CE" w:rsidRPr="002916F9" w:rsidRDefault="00E820CE" w:rsidP="00E820CE">
      <w:pPr>
        <w:spacing w:after="240" w:line="240" w:lineRule="auto"/>
        <w:ind w:left="567" w:hanging="567"/>
        <w:jc w:val="left"/>
        <w:rPr>
          <w:rFonts w:eastAsia="Times New Roman" w:cs="Times New Roman"/>
          <w:szCs w:val="24"/>
        </w:rPr>
      </w:pPr>
      <w:r w:rsidRPr="002916F9">
        <w:rPr>
          <w:rFonts w:eastAsia="Times New Roman" w:cs="Times New Roman"/>
          <w:szCs w:val="24"/>
        </w:rPr>
        <w:t xml:space="preserve">Council recommendation on the Eropean qualifications framework for lifelong learning and repealing the recommendation of the European Parliament and of the Council on the establishment of the European qualificcations framework for lifelong learning, </w:t>
      </w:r>
      <w:r>
        <w:rPr>
          <w:rFonts w:eastAsia="Times New Roman" w:cs="Times New Roman"/>
          <w:szCs w:val="24"/>
          <w:lang w:val="sr-Cyrl-RS"/>
        </w:rPr>
        <w:t>доступно на</w:t>
      </w:r>
      <w:r w:rsidRPr="002916F9">
        <w:rPr>
          <w:rFonts w:eastAsia="Times New Roman" w:cs="Times New Roman"/>
          <w:szCs w:val="24"/>
        </w:rPr>
        <w:t>:</w:t>
      </w:r>
      <w:r>
        <w:rPr>
          <w:rFonts w:eastAsia="Times New Roman" w:cs="Times New Roman"/>
          <w:szCs w:val="24"/>
        </w:rPr>
        <w:t xml:space="preserve"> </w:t>
      </w:r>
      <w:hyperlink r:id="rId11" w:history="1">
        <w:r w:rsidRPr="002916F9">
          <w:rPr>
            <w:rStyle w:val="Hyperlink"/>
            <w:rFonts w:eastAsia="Times New Roman" w:cs="Times New Roman"/>
            <w:szCs w:val="24"/>
          </w:rPr>
          <w:t>https://eur-lex.europa.eu/legal-content/EN/TXT/PDF/?uri=CELEX:32017H0615(01)</w:t>
        </w:r>
      </w:hyperlink>
    </w:p>
    <w:p w14:paraId="42E7162D" w14:textId="77777777" w:rsidR="00E820CE" w:rsidRPr="002916F9" w:rsidRDefault="00E820CE" w:rsidP="00E820CE">
      <w:pPr>
        <w:spacing w:after="240" w:line="240" w:lineRule="auto"/>
        <w:ind w:left="567" w:hanging="567"/>
        <w:jc w:val="left"/>
        <w:rPr>
          <w:rFonts w:eastAsia="Times New Roman" w:cs="Times New Roman"/>
          <w:szCs w:val="24"/>
        </w:rPr>
      </w:pPr>
      <w:r w:rsidRPr="002916F9">
        <w:rPr>
          <w:rFonts w:eastAsia="Times New Roman" w:cs="Times New Roman"/>
          <w:szCs w:val="24"/>
        </w:rPr>
        <w:t xml:space="preserve">Evaluating what works in national qualifications frameworks: effectivenes, efficacy and impact, </w:t>
      </w:r>
      <w:r>
        <w:rPr>
          <w:rFonts w:eastAsia="Times New Roman" w:cs="Times New Roman"/>
          <w:szCs w:val="24"/>
          <w:lang w:val="sr-Cyrl-RS"/>
        </w:rPr>
        <w:t>доступно на</w:t>
      </w:r>
      <w:r w:rsidRPr="002916F9">
        <w:rPr>
          <w:rFonts w:eastAsia="Times New Roman" w:cs="Times New Roman"/>
          <w:szCs w:val="24"/>
          <w:lang w:val="sr-Cyrl-RS"/>
        </w:rPr>
        <w:t>:</w:t>
      </w:r>
      <w:r>
        <w:rPr>
          <w:rFonts w:eastAsia="Times New Roman" w:cs="Times New Roman"/>
          <w:szCs w:val="24"/>
        </w:rPr>
        <w:t xml:space="preserve"> </w:t>
      </w:r>
      <w:hyperlink r:id="rId12" w:history="1">
        <w:r w:rsidRPr="00044AC7">
          <w:rPr>
            <w:rStyle w:val="Hyperlink"/>
            <w:rFonts w:eastAsia="Times New Roman" w:cs="Times New Roman"/>
            <w:szCs w:val="24"/>
          </w:rPr>
          <w:t>https</w:t>
        </w:r>
        <w:r w:rsidRPr="00044AC7">
          <w:rPr>
            <w:rStyle w:val="Hyperlink"/>
            <w:rFonts w:eastAsia="Times New Roman" w:cs="Times New Roman"/>
            <w:szCs w:val="24"/>
            <w:lang w:val="sr-Cyrl-RS"/>
          </w:rPr>
          <w:t>://</w:t>
        </w:r>
        <w:r w:rsidRPr="00044AC7">
          <w:rPr>
            <w:rStyle w:val="Hyperlink"/>
            <w:rFonts w:eastAsia="Times New Roman" w:cs="Times New Roman"/>
            <w:szCs w:val="24"/>
          </w:rPr>
          <w:t>www</w:t>
        </w:r>
        <w:r w:rsidRPr="00044AC7">
          <w:rPr>
            <w:rStyle w:val="Hyperlink"/>
            <w:rFonts w:eastAsia="Times New Roman" w:cs="Times New Roman"/>
            <w:szCs w:val="24"/>
            <w:lang w:val="sr-Cyrl-RS"/>
          </w:rPr>
          <w:t>.</w:t>
        </w:r>
        <w:r w:rsidRPr="00044AC7">
          <w:rPr>
            <w:rStyle w:val="Hyperlink"/>
            <w:rFonts w:eastAsia="Times New Roman" w:cs="Times New Roman"/>
            <w:szCs w:val="24"/>
          </w:rPr>
          <w:t>researchgate</w:t>
        </w:r>
        <w:r w:rsidRPr="00044AC7">
          <w:rPr>
            <w:rStyle w:val="Hyperlink"/>
            <w:rFonts w:eastAsia="Times New Roman" w:cs="Times New Roman"/>
            <w:szCs w:val="24"/>
            <w:lang w:val="sr-Cyrl-RS"/>
          </w:rPr>
          <w:t>.</w:t>
        </w:r>
        <w:r w:rsidRPr="00044AC7">
          <w:rPr>
            <w:rStyle w:val="Hyperlink"/>
            <w:rFonts w:eastAsia="Times New Roman" w:cs="Times New Roman"/>
            <w:szCs w:val="24"/>
          </w:rPr>
          <w:t>net</w:t>
        </w:r>
        <w:r w:rsidRPr="00044AC7">
          <w:rPr>
            <w:rStyle w:val="Hyperlink"/>
            <w:rFonts w:eastAsia="Times New Roman" w:cs="Times New Roman"/>
            <w:szCs w:val="24"/>
            <w:lang w:val="sr-Cyrl-RS"/>
          </w:rPr>
          <w:t>/</w:t>
        </w:r>
        <w:r w:rsidRPr="00044AC7">
          <w:rPr>
            <w:rStyle w:val="Hyperlink"/>
            <w:rFonts w:eastAsia="Times New Roman" w:cs="Times New Roman"/>
            <w:szCs w:val="24"/>
          </w:rPr>
          <w:t>profile</w:t>
        </w:r>
        <w:r w:rsidRPr="00044AC7">
          <w:rPr>
            <w:rStyle w:val="Hyperlink"/>
            <w:rFonts w:eastAsia="Times New Roman" w:cs="Times New Roman"/>
            <w:szCs w:val="24"/>
            <w:lang w:val="sr-Cyrl-RS"/>
          </w:rPr>
          <w:t>/</w:t>
        </w:r>
        <w:r w:rsidRPr="00044AC7">
          <w:rPr>
            <w:rStyle w:val="Hyperlink"/>
            <w:rFonts w:eastAsia="Times New Roman" w:cs="Times New Roman"/>
            <w:szCs w:val="24"/>
          </w:rPr>
          <w:t>Keith</w:t>
        </w:r>
        <w:r w:rsidRPr="00044AC7">
          <w:rPr>
            <w:rStyle w:val="Hyperlink"/>
            <w:rFonts w:eastAsia="Times New Roman" w:cs="Times New Roman"/>
            <w:szCs w:val="24"/>
            <w:lang w:val="sr-Cyrl-RS"/>
          </w:rPr>
          <w:t>_</w:t>
        </w:r>
        <w:r w:rsidRPr="00044AC7">
          <w:rPr>
            <w:rStyle w:val="Hyperlink"/>
            <w:rFonts w:eastAsia="Times New Roman" w:cs="Times New Roman"/>
            <w:szCs w:val="24"/>
          </w:rPr>
          <w:t>Morrison</w:t>
        </w:r>
        <w:r w:rsidRPr="00044AC7">
          <w:rPr>
            <w:rStyle w:val="Hyperlink"/>
            <w:rFonts w:eastAsia="Times New Roman" w:cs="Times New Roman"/>
            <w:szCs w:val="24"/>
            <w:lang w:val="sr-Cyrl-RS"/>
          </w:rPr>
          <w:t>3/</w:t>
        </w:r>
        <w:r w:rsidRPr="00044AC7">
          <w:rPr>
            <w:rStyle w:val="Hyperlink"/>
            <w:rFonts w:eastAsia="Times New Roman" w:cs="Times New Roman"/>
            <w:szCs w:val="24"/>
          </w:rPr>
          <w:t>publication</w:t>
        </w:r>
        <w:r w:rsidRPr="00044AC7">
          <w:rPr>
            <w:rStyle w:val="Hyperlink"/>
            <w:rFonts w:eastAsia="Times New Roman" w:cs="Times New Roman"/>
            <w:szCs w:val="24"/>
            <w:lang w:val="sr-Cyrl-RS"/>
          </w:rPr>
          <w:t>/342465830_</w:t>
        </w:r>
        <w:r w:rsidRPr="00044AC7">
          <w:rPr>
            <w:rStyle w:val="Hyperlink"/>
            <w:rFonts w:eastAsia="Times New Roman" w:cs="Times New Roman"/>
            <w:szCs w:val="24"/>
          </w:rPr>
          <w:t>EVALUATING</w:t>
        </w:r>
        <w:r w:rsidRPr="00044AC7">
          <w:rPr>
            <w:rStyle w:val="Hyperlink"/>
            <w:rFonts w:eastAsia="Times New Roman" w:cs="Times New Roman"/>
            <w:szCs w:val="24"/>
            <w:lang w:val="sr-Cyrl-RS"/>
          </w:rPr>
          <w:t>_%27</w:t>
        </w:r>
        <w:r w:rsidRPr="00044AC7">
          <w:rPr>
            <w:rStyle w:val="Hyperlink"/>
            <w:rFonts w:eastAsia="Times New Roman" w:cs="Times New Roman"/>
            <w:szCs w:val="24"/>
          </w:rPr>
          <w:t>WHAT</w:t>
        </w:r>
        <w:r w:rsidRPr="00044AC7">
          <w:rPr>
            <w:rStyle w:val="Hyperlink"/>
            <w:rFonts w:eastAsia="Times New Roman" w:cs="Times New Roman"/>
            <w:szCs w:val="24"/>
            <w:lang w:val="sr-Cyrl-RS"/>
          </w:rPr>
          <w:t>_</w:t>
        </w:r>
        <w:r w:rsidRPr="00044AC7">
          <w:rPr>
            <w:rStyle w:val="Hyperlink"/>
            <w:rFonts w:eastAsia="Times New Roman" w:cs="Times New Roman"/>
            <w:szCs w:val="24"/>
          </w:rPr>
          <w:t>WORKS</w:t>
        </w:r>
        <w:r w:rsidRPr="00044AC7">
          <w:rPr>
            <w:rStyle w:val="Hyperlink"/>
            <w:rFonts w:eastAsia="Times New Roman" w:cs="Times New Roman"/>
            <w:szCs w:val="24"/>
            <w:lang w:val="sr-Cyrl-RS"/>
          </w:rPr>
          <w:t>%27_</w:t>
        </w:r>
        <w:r w:rsidRPr="00044AC7">
          <w:rPr>
            <w:rStyle w:val="Hyperlink"/>
            <w:rFonts w:eastAsia="Times New Roman" w:cs="Times New Roman"/>
            <w:szCs w:val="24"/>
          </w:rPr>
          <w:t>IN</w:t>
        </w:r>
        <w:r w:rsidRPr="00044AC7">
          <w:rPr>
            <w:rStyle w:val="Hyperlink"/>
            <w:rFonts w:eastAsia="Times New Roman" w:cs="Times New Roman"/>
            <w:szCs w:val="24"/>
            <w:lang w:val="sr-Cyrl-RS"/>
          </w:rPr>
          <w:t>_</w:t>
        </w:r>
        <w:r w:rsidRPr="00044AC7">
          <w:rPr>
            <w:rStyle w:val="Hyperlink"/>
            <w:rFonts w:eastAsia="Times New Roman" w:cs="Times New Roman"/>
            <w:szCs w:val="24"/>
          </w:rPr>
          <w:t>NATIONAL</w:t>
        </w:r>
        <w:r w:rsidRPr="00044AC7">
          <w:rPr>
            <w:rStyle w:val="Hyperlink"/>
            <w:rFonts w:eastAsia="Times New Roman" w:cs="Times New Roman"/>
            <w:szCs w:val="24"/>
            <w:lang w:val="sr-Cyrl-RS"/>
          </w:rPr>
          <w:t>_</w:t>
        </w:r>
        <w:r w:rsidRPr="00044AC7">
          <w:rPr>
            <w:rStyle w:val="Hyperlink"/>
            <w:rFonts w:eastAsia="Times New Roman" w:cs="Times New Roman"/>
            <w:szCs w:val="24"/>
          </w:rPr>
          <w:t>QUALIFICATIONS</w:t>
        </w:r>
        <w:r w:rsidRPr="00044AC7">
          <w:rPr>
            <w:rStyle w:val="Hyperlink"/>
            <w:rFonts w:eastAsia="Times New Roman" w:cs="Times New Roman"/>
            <w:szCs w:val="24"/>
            <w:lang w:val="sr-Cyrl-RS"/>
          </w:rPr>
          <w:t>_</w:t>
        </w:r>
        <w:r w:rsidRPr="00044AC7">
          <w:rPr>
            <w:rStyle w:val="Hyperlink"/>
            <w:rFonts w:eastAsia="Times New Roman" w:cs="Times New Roman"/>
            <w:szCs w:val="24"/>
          </w:rPr>
          <w:t>FRAMEWORKS</w:t>
        </w:r>
        <w:r w:rsidRPr="00044AC7">
          <w:rPr>
            <w:rStyle w:val="Hyperlink"/>
            <w:rFonts w:eastAsia="Times New Roman" w:cs="Times New Roman"/>
            <w:szCs w:val="24"/>
            <w:lang w:val="sr-Cyrl-RS"/>
          </w:rPr>
          <w:t>_</w:t>
        </w:r>
        <w:r w:rsidRPr="00044AC7">
          <w:rPr>
            <w:rStyle w:val="Hyperlink"/>
            <w:rFonts w:eastAsia="Times New Roman" w:cs="Times New Roman"/>
            <w:szCs w:val="24"/>
          </w:rPr>
          <w:t>EFFECTIVENESS</w:t>
        </w:r>
        <w:r w:rsidRPr="00044AC7">
          <w:rPr>
            <w:rStyle w:val="Hyperlink"/>
            <w:rFonts w:eastAsia="Times New Roman" w:cs="Times New Roman"/>
            <w:szCs w:val="24"/>
            <w:lang w:val="sr-Cyrl-RS"/>
          </w:rPr>
          <w:t>_</w:t>
        </w:r>
        <w:r w:rsidRPr="00044AC7">
          <w:rPr>
            <w:rStyle w:val="Hyperlink"/>
            <w:rFonts w:eastAsia="Times New Roman" w:cs="Times New Roman"/>
            <w:szCs w:val="24"/>
          </w:rPr>
          <w:t>EFFICACY</w:t>
        </w:r>
        <w:r w:rsidRPr="00044AC7">
          <w:rPr>
            <w:rStyle w:val="Hyperlink"/>
            <w:rFonts w:eastAsia="Times New Roman" w:cs="Times New Roman"/>
            <w:szCs w:val="24"/>
            <w:lang w:val="sr-Cyrl-RS"/>
          </w:rPr>
          <w:t>_</w:t>
        </w:r>
        <w:r w:rsidRPr="00044AC7">
          <w:rPr>
            <w:rStyle w:val="Hyperlink"/>
            <w:rFonts w:eastAsia="Times New Roman" w:cs="Times New Roman"/>
            <w:szCs w:val="24"/>
          </w:rPr>
          <w:t>AND</w:t>
        </w:r>
        <w:r w:rsidRPr="00044AC7">
          <w:rPr>
            <w:rStyle w:val="Hyperlink"/>
            <w:rFonts w:eastAsia="Times New Roman" w:cs="Times New Roman"/>
            <w:szCs w:val="24"/>
            <w:lang w:val="sr-Cyrl-RS"/>
          </w:rPr>
          <w:t>_</w:t>
        </w:r>
        <w:r w:rsidRPr="00044AC7">
          <w:rPr>
            <w:rStyle w:val="Hyperlink"/>
            <w:rFonts w:eastAsia="Times New Roman" w:cs="Times New Roman"/>
            <w:szCs w:val="24"/>
          </w:rPr>
          <w:t>IMPACT</w:t>
        </w:r>
        <w:r w:rsidRPr="00044AC7">
          <w:rPr>
            <w:rStyle w:val="Hyperlink"/>
            <w:rFonts w:eastAsia="Times New Roman" w:cs="Times New Roman"/>
            <w:szCs w:val="24"/>
            <w:lang w:val="sr-Cyrl-RS"/>
          </w:rPr>
          <w:t>/</w:t>
        </w:r>
        <w:r w:rsidRPr="00044AC7">
          <w:rPr>
            <w:rStyle w:val="Hyperlink"/>
            <w:rFonts w:eastAsia="Times New Roman" w:cs="Times New Roman"/>
            <w:szCs w:val="24"/>
          </w:rPr>
          <w:t>links</w:t>
        </w:r>
        <w:r w:rsidRPr="00044AC7">
          <w:rPr>
            <w:rStyle w:val="Hyperlink"/>
            <w:rFonts w:eastAsia="Times New Roman" w:cs="Times New Roman"/>
            <w:szCs w:val="24"/>
            <w:lang w:val="sr-Cyrl-RS"/>
          </w:rPr>
          <w:t>/5</w:t>
        </w:r>
        <w:r w:rsidRPr="00044AC7">
          <w:rPr>
            <w:rStyle w:val="Hyperlink"/>
            <w:rFonts w:eastAsia="Times New Roman" w:cs="Times New Roman"/>
            <w:szCs w:val="24"/>
          </w:rPr>
          <w:t>ef</w:t>
        </w:r>
        <w:r w:rsidRPr="00044AC7">
          <w:rPr>
            <w:rStyle w:val="Hyperlink"/>
            <w:rFonts w:eastAsia="Times New Roman" w:cs="Times New Roman"/>
            <w:szCs w:val="24"/>
            <w:lang w:val="sr-Cyrl-RS"/>
          </w:rPr>
          <w:t>58</w:t>
        </w:r>
        <w:r w:rsidRPr="00044AC7">
          <w:rPr>
            <w:rStyle w:val="Hyperlink"/>
            <w:rFonts w:eastAsia="Times New Roman" w:cs="Times New Roman"/>
            <w:szCs w:val="24"/>
          </w:rPr>
          <w:t>ecf</w:t>
        </w:r>
        <w:r w:rsidRPr="00044AC7">
          <w:rPr>
            <w:rStyle w:val="Hyperlink"/>
            <w:rFonts w:eastAsia="Times New Roman" w:cs="Times New Roman"/>
            <w:szCs w:val="24"/>
            <w:lang w:val="sr-Cyrl-RS"/>
          </w:rPr>
          <w:t>4585155050728</w:t>
        </w:r>
        <w:r w:rsidRPr="00044AC7">
          <w:rPr>
            <w:rStyle w:val="Hyperlink"/>
            <w:rFonts w:eastAsia="Times New Roman" w:cs="Times New Roman"/>
            <w:szCs w:val="24"/>
          </w:rPr>
          <w:t>d</w:t>
        </w:r>
        <w:r w:rsidRPr="00044AC7">
          <w:rPr>
            <w:rStyle w:val="Hyperlink"/>
            <w:rFonts w:eastAsia="Times New Roman" w:cs="Times New Roman"/>
            <w:szCs w:val="24"/>
            <w:lang w:val="sr-Cyrl-RS"/>
          </w:rPr>
          <w:t>02/</w:t>
        </w:r>
        <w:r w:rsidRPr="00044AC7">
          <w:rPr>
            <w:rStyle w:val="Hyperlink"/>
            <w:rFonts w:eastAsia="Times New Roman" w:cs="Times New Roman"/>
            <w:szCs w:val="24"/>
          </w:rPr>
          <w:t>EVALUATING</w:t>
        </w:r>
        <w:r w:rsidRPr="00044AC7">
          <w:rPr>
            <w:rStyle w:val="Hyperlink"/>
            <w:rFonts w:eastAsia="Times New Roman" w:cs="Times New Roman"/>
            <w:szCs w:val="24"/>
            <w:lang w:val="sr-Cyrl-RS"/>
          </w:rPr>
          <w:t>-</w:t>
        </w:r>
        <w:r w:rsidRPr="00044AC7">
          <w:rPr>
            <w:rStyle w:val="Hyperlink"/>
            <w:rFonts w:eastAsia="Times New Roman" w:cs="Times New Roman"/>
            <w:szCs w:val="24"/>
          </w:rPr>
          <w:t>WHAT</w:t>
        </w:r>
        <w:r w:rsidRPr="00044AC7">
          <w:rPr>
            <w:rStyle w:val="Hyperlink"/>
            <w:rFonts w:eastAsia="Times New Roman" w:cs="Times New Roman"/>
            <w:szCs w:val="24"/>
            <w:lang w:val="sr-Cyrl-RS"/>
          </w:rPr>
          <w:t>-</w:t>
        </w:r>
        <w:r w:rsidRPr="00044AC7">
          <w:rPr>
            <w:rStyle w:val="Hyperlink"/>
            <w:rFonts w:eastAsia="Times New Roman" w:cs="Times New Roman"/>
            <w:szCs w:val="24"/>
          </w:rPr>
          <w:t>WORKS</w:t>
        </w:r>
        <w:r w:rsidRPr="00044AC7">
          <w:rPr>
            <w:rStyle w:val="Hyperlink"/>
            <w:rFonts w:eastAsia="Times New Roman" w:cs="Times New Roman"/>
            <w:szCs w:val="24"/>
            <w:lang w:val="sr-Cyrl-RS"/>
          </w:rPr>
          <w:t>-</w:t>
        </w:r>
        <w:r w:rsidRPr="00044AC7">
          <w:rPr>
            <w:rStyle w:val="Hyperlink"/>
            <w:rFonts w:eastAsia="Times New Roman" w:cs="Times New Roman"/>
            <w:szCs w:val="24"/>
          </w:rPr>
          <w:t>IN</w:t>
        </w:r>
        <w:r w:rsidRPr="00044AC7">
          <w:rPr>
            <w:rStyle w:val="Hyperlink"/>
            <w:rFonts w:eastAsia="Times New Roman" w:cs="Times New Roman"/>
            <w:szCs w:val="24"/>
            <w:lang w:val="sr-Cyrl-RS"/>
          </w:rPr>
          <w:t>-</w:t>
        </w:r>
        <w:r w:rsidRPr="00044AC7">
          <w:rPr>
            <w:rStyle w:val="Hyperlink"/>
            <w:rFonts w:eastAsia="Times New Roman" w:cs="Times New Roman"/>
            <w:szCs w:val="24"/>
          </w:rPr>
          <w:t>NATIONAL</w:t>
        </w:r>
        <w:r w:rsidRPr="00044AC7">
          <w:rPr>
            <w:rStyle w:val="Hyperlink"/>
            <w:rFonts w:eastAsia="Times New Roman" w:cs="Times New Roman"/>
            <w:szCs w:val="24"/>
            <w:lang w:val="sr-Cyrl-RS"/>
          </w:rPr>
          <w:t>-</w:t>
        </w:r>
      </w:hyperlink>
      <w:r>
        <w:rPr>
          <w:rFonts w:eastAsia="Times New Roman" w:cs="Times New Roman"/>
          <w:szCs w:val="24"/>
        </w:rPr>
        <w:t xml:space="preserve"> </w:t>
      </w:r>
    </w:p>
    <w:p w14:paraId="364A821B" w14:textId="77777777" w:rsidR="00E820CE" w:rsidRPr="002916F9" w:rsidRDefault="00E820CE" w:rsidP="00E820CE">
      <w:pPr>
        <w:spacing w:after="240" w:line="240" w:lineRule="auto"/>
        <w:ind w:left="567" w:hanging="567"/>
        <w:jc w:val="left"/>
        <w:rPr>
          <w:rFonts w:eastAsia="Times New Roman" w:cs="Times New Roman"/>
          <w:szCs w:val="24"/>
          <w:lang w:val="sr-Cyrl-RS"/>
        </w:rPr>
      </w:pPr>
      <w:r w:rsidRPr="002916F9">
        <w:rPr>
          <w:rFonts w:eastAsia="Times New Roman" w:cs="Times New Roman"/>
          <w:szCs w:val="24"/>
          <w:lang w:val="sr-Latn-RS"/>
        </w:rPr>
        <w:t xml:space="preserve">Evaluation of the Implementation of the EQF Recommendation, </w:t>
      </w:r>
      <w:r>
        <w:rPr>
          <w:rFonts w:eastAsia="Times New Roman" w:cs="Times New Roman"/>
          <w:szCs w:val="24"/>
          <w:lang w:val="sr-Cyrl-RS"/>
        </w:rPr>
        <w:t>доступно на</w:t>
      </w:r>
      <w:r w:rsidRPr="002916F9">
        <w:rPr>
          <w:rFonts w:eastAsia="Times New Roman" w:cs="Times New Roman"/>
          <w:szCs w:val="24"/>
          <w:lang w:val="sr-Latn-RS"/>
        </w:rPr>
        <w:t>:</w:t>
      </w:r>
      <w:r>
        <w:rPr>
          <w:rFonts w:eastAsia="Times New Roman" w:cs="Times New Roman"/>
          <w:szCs w:val="24"/>
          <w:lang w:val="sr-Latn-RS"/>
        </w:rPr>
        <w:t xml:space="preserve"> </w:t>
      </w:r>
      <w:hyperlink r:id="rId13" w:history="1">
        <w:r w:rsidRPr="00044AC7">
          <w:rPr>
            <w:rStyle w:val="Hyperlink"/>
            <w:rFonts w:eastAsia="Times New Roman" w:cs="Times New Roman"/>
            <w:szCs w:val="24"/>
            <w:lang w:val="sr-Latn-RS"/>
          </w:rPr>
          <w:t>https://www.nki-latvija.lv/en/jaunums/evaluation-of-the-implementation-of-the-eqf-recommendation</w:t>
        </w:r>
      </w:hyperlink>
      <w:r>
        <w:rPr>
          <w:rFonts w:eastAsia="Times New Roman" w:cs="Times New Roman"/>
          <w:szCs w:val="24"/>
          <w:lang w:val="sr-Cyrl-RS"/>
        </w:rPr>
        <w:t xml:space="preserve"> </w:t>
      </w:r>
    </w:p>
    <w:p w14:paraId="636E23C4" w14:textId="77777777" w:rsidR="00E820CE" w:rsidRPr="002916F9" w:rsidRDefault="00E820CE" w:rsidP="00E820CE">
      <w:pPr>
        <w:pStyle w:val="FootnoteText"/>
        <w:spacing w:after="240"/>
        <w:ind w:left="567" w:hanging="567"/>
        <w:rPr>
          <w:rFonts w:ascii="Times New Roman" w:hAnsi="Times New Roman" w:cs="Times New Roman"/>
          <w:sz w:val="24"/>
          <w:szCs w:val="24"/>
        </w:rPr>
      </w:pPr>
      <w:r w:rsidRPr="002916F9">
        <w:rPr>
          <w:rFonts w:ascii="Times New Roman" w:hAnsi="Times New Roman" w:cs="Times New Roman"/>
          <w:sz w:val="24"/>
          <w:szCs w:val="24"/>
        </w:rPr>
        <w:t xml:space="preserve">European Commission, Directorate-General for Education, Youth, Sport and Culture, </w:t>
      </w:r>
      <w:r w:rsidRPr="002916F9">
        <w:rPr>
          <w:rFonts w:ascii="Times New Roman" w:hAnsi="Times New Roman" w:cs="Times New Roman"/>
          <w:i/>
          <w:iCs/>
          <w:sz w:val="24"/>
          <w:szCs w:val="24"/>
        </w:rPr>
        <w:t>Key competences for lifelong learning</w:t>
      </w:r>
      <w:r w:rsidRPr="002916F9">
        <w:rPr>
          <w:rFonts w:ascii="Times New Roman" w:hAnsi="Times New Roman" w:cs="Times New Roman"/>
          <w:sz w:val="24"/>
          <w:szCs w:val="24"/>
        </w:rPr>
        <w:t xml:space="preserve">, Publications Office, 2019, </w:t>
      </w:r>
      <w:hyperlink r:id="rId14" w:history="1">
        <w:r w:rsidRPr="002916F9">
          <w:rPr>
            <w:rStyle w:val="Hyperlink"/>
            <w:rFonts w:ascii="Times New Roman" w:hAnsi="Times New Roman" w:cs="Times New Roman"/>
            <w:sz w:val="24"/>
            <w:szCs w:val="24"/>
          </w:rPr>
          <w:t>https://data.europa.eu/doi/10.2766/291008</w:t>
        </w:r>
      </w:hyperlink>
    </w:p>
    <w:p w14:paraId="135F0DDE" w14:textId="77777777" w:rsidR="00E820CE" w:rsidRPr="002916F9" w:rsidRDefault="00E820CE" w:rsidP="00E820CE">
      <w:pPr>
        <w:pStyle w:val="FootnoteText"/>
        <w:spacing w:after="240"/>
        <w:ind w:left="567" w:hanging="567"/>
        <w:rPr>
          <w:rFonts w:ascii="Times New Roman" w:hAnsi="Times New Roman" w:cs="Times New Roman"/>
          <w:sz w:val="24"/>
          <w:szCs w:val="24"/>
        </w:rPr>
      </w:pPr>
      <w:r w:rsidRPr="002916F9">
        <w:rPr>
          <w:rFonts w:ascii="Times New Roman" w:hAnsi="Times New Roman" w:cs="Times New Roman"/>
          <w:sz w:val="24"/>
          <w:szCs w:val="24"/>
        </w:rPr>
        <w:t xml:space="preserve">European inventory of NQFs, </w:t>
      </w:r>
      <w:r>
        <w:rPr>
          <w:rFonts w:ascii="Times New Roman" w:hAnsi="Times New Roman" w:cs="Times New Roman"/>
          <w:sz w:val="24"/>
          <w:szCs w:val="24"/>
          <w:lang w:val="sr-Cyrl-RS"/>
        </w:rPr>
        <w:t>доступно на</w:t>
      </w:r>
      <w:r w:rsidRPr="002916F9">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sidRPr="00044AC7">
          <w:rPr>
            <w:rStyle w:val="Hyperlink"/>
            <w:rFonts w:ascii="Times New Roman" w:hAnsi="Times New Roman" w:cs="Times New Roman"/>
            <w:sz w:val="24"/>
            <w:szCs w:val="24"/>
          </w:rPr>
          <w:t>https://www.cedefop.europa.eu/en/country-reports/european-inventory-of-nqfs?search=&amp;year=&amp;country=&amp;sort_order=DESC&amp;items_per_page=24&amp;page=1</w:t>
        </w:r>
      </w:hyperlink>
      <w:r>
        <w:rPr>
          <w:rFonts w:ascii="Times New Roman" w:hAnsi="Times New Roman" w:cs="Times New Roman"/>
          <w:sz w:val="24"/>
          <w:szCs w:val="24"/>
        </w:rPr>
        <w:t xml:space="preserve"> </w:t>
      </w:r>
    </w:p>
    <w:p w14:paraId="40A3B432"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sidRPr="002916F9">
        <w:rPr>
          <w:rFonts w:ascii="Times New Roman" w:hAnsi="Times New Roman" w:cs="Times New Roman"/>
          <w:sz w:val="24"/>
          <w:szCs w:val="24"/>
        </w:rPr>
        <w:t xml:space="preserve">European Qualifications Framework for lifelong learning, </w:t>
      </w:r>
      <w:r>
        <w:rPr>
          <w:rFonts w:ascii="Times New Roman" w:hAnsi="Times New Roman" w:cs="Times New Roman"/>
          <w:sz w:val="24"/>
          <w:szCs w:val="24"/>
          <w:lang w:val="sr-Cyrl-RS"/>
        </w:rPr>
        <w:t>доступно на</w:t>
      </w:r>
      <w:r>
        <w:rPr>
          <w:rFonts w:ascii="Times New Roman" w:hAnsi="Times New Roman" w:cs="Times New Roman"/>
          <w:sz w:val="24"/>
          <w:szCs w:val="24"/>
        </w:rPr>
        <w:t xml:space="preserve"> </w:t>
      </w:r>
      <w:hyperlink r:id="rId16" w:history="1">
        <w:r w:rsidRPr="00044AC7">
          <w:rPr>
            <w:rStyle w:val="Hyperlink"/>
            <w:rFonts w:ascii="Times New Roman" w:hAnsi="Times New Roman" w:cs="Times New Roman"/>
            <w:sz w:val="24"/>
            <w:szCs w:val="24"/>
          </w:rPr>
          <w:t>https://eur-lex.europa.eu/LexUriServ/LexUriServ.do?uri=OJ:C:2008:111:0001:0007:EN:PDF</w:t>
        </w:r>
      </w:hyperlink>
      <w:r>
        <w:rPr>
          <w:rFonts w:ascii="Times New Roman" w:hAnsi="Times New Roman" w:cs="Times New Roman"/>
          <w:sz w:val="24"/>
          <w:szCs w:val="24"/>
        </w:rPr>
        <w:t xml:space="preserve"> </w:t>
      </w:r>
    </w:p>
    <w:p w14:paraId="6344C4FE"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sidRPr="002916F9">
        <w:rPr>
          <w:rFonts w:ascii="Times New Roman" w:hAnsi="Times New Roman" w:cs="Times New Roman"/>
          <w:sz w:val="24"/>
          <w:szCs w:val="24"/>
          <w:lang w:val="sr-Latn-RS"/>
        </w:rPr>
        <w:t xml:space="preserve">Implementation evaluation of the national qualifications framework, Act 67 of 2008, </w:t>
      </w:r>
      <w:r>
        <w:rPr>
          <w:rFonts w:ascii="Times New Roman" w:hAnsi="Times New Roman" w:cs="Times New Roman"/>
          <w:sz w:val="24"/>
          <w:szCs w:val="24"/>
          <w:lang w:val="sr-Cyrl-RS"/>
        </w:rPr>
        <w:t>доступно на</w:t>
      </w:r>
      <w:r w:rsidRPr="002916F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hyperlink r:id="rId17" w:history="1">
        <w:r w:rsidRPr="00044AC7">
          <w:rPr>
            <w:rStyle w:val="Hyperlink"/>
            <w:rFonts w:ascii="Times New Roman" w:hAnsi="Times New Roman" w:cs="Times New Roman"/>
            <w:sz w:val="24"/>
            <w:szCs w:val="24"/>
            <w:lang w:val="sr-Latn-RS"/>
          </w:rPr>
          <w:t>https://www.dhet.gov.za/ResearchNew/NQFA%20Full%20Evaluation%20Report%20Final%20STC_.pdf</w:t>
        </w:r>
      </w:hyperlink>
      <w:r>
        <w:rPr>
          <w:rFonts w:ascii="Times New Roman" w:hAnsi="Times New Roman" w:cs="Times New Roman"/>
          <w:sz w:val="24"/>
          <w:szCs w:val="24"/>
          <w:lang w:val="sr-Latn-RS"/>
        </w:rPr>
        <w:t xml:space="preserve"> </w:t>
      </w:r>
    </w:p>
    <w:p w14:paraId="60463484"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Pr>
          <w:rFonts w:ascii="Times New Roman" w:hAnsi="Times New Roman" w:cs="Times New Roman"/>
          <w:sz w:val="24"/>
          <w:szCs w:val="24"/>
          <w:lang w:val="sr-Cyrl-RS"/>
        </w:rPr>
        <w:t>Извештај о реализацији Акционог плана Стратегије развоја образовања у Србији до 2020. године, доступно на</w:t>
      </w:r>
      <w:r w:rsidRPr="002916F9">
        <w:rPr>
          <w:rFonts w:ascii="Times New Roman" w:hAnsi="Times New Roman" w:cs="Times New Roman"/>
          <w:sz w:val="24"/>
          <w:szCs w:val="24"/>
          <w:lang w:val="sr-Latn-RS"/>
        </w:rPr>
        <w:t xml:space="preserve"> </w:t>
      </w:r>
      <w:hyperlink r:id="rId18" w:history="1">
        <w:r w:rsidRPr="002916F9">
          <w:rPr>
            <w:rStyle w:val="Hyperlink"/>
            <w:rFonts w:ascii="Times New Roman" w:hAnsi="Times New Roman" w:cs="Times New Roman"/>
            <w:sz w:val="24"/>
            <w:szCs w:val="24"/>
            <w:lang w:val="sr-Latn-RS"/>
          </w:rPr>
          <w:t>https://www.mpn.gov.rs/wp-content/uploads/2018/08/AP-SROS-IZVESTAJ-15jun.pdf</w:t>
        </w:r>
      </w:hyperlink>
    </w:p>
    <w:p w14:paraId="0059898B"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sidRPr="002916F9">
        <w:rPr>
          <w:rFonts w:ascii="Times New Roman" w:hAnsi="Times New Roman" w:cs="Times New Roman"/>
          <w:sz w:val="24"/>
          <w:szCs w:val="24"/>
          <w:lang w:val="sr-Latn-RS"/>
        </w:rPr>
        <w:t xml:space="preserve">Linking vocational education and training standards and employment requirements, An international manual, </w:t>
      </w:r>
      <w:r>
        <w:rPr>
          <w:rFonts w:ascii="Times New Roman" w:hAnsi="Times New Roman" w:cs="Times New Roman"/>
          <w:sz w:val="24"/>
          <w:szCs w:val="24"/>
          <w:lang w:val="sr-Cyrl-RS"/>
        </w:rPr>
        <w:t>доступно на</w:t>
      </w:r>
      <w:r w:rsidRPr="002916F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hyperlink r:id="rId19" w:history="1">
        <w:r w:rsidRPr="00044AC7">
          <w:rPr>
            <w:rStyle w:val="Hyperlink"/>
            <w:rFonts w:ascii="Times New Roman" w:hAnsi="Times New Roman" w:cs="Times New Roman"/>
            <w:sz w:val="24"/>
            <w:szCs w:val="24"/>
            <w:lang w:val="sr-Latn-RS"/>
          </w:rPr>
          <w:t>https://www.etf.europa.eu/en/publications-and-resources/publications/linking-vocational-education-and-training-standards-and</w:t>
        </w:r>
      </w:hyperlink>
      <w:r>
        <w:rPr>
          <w:rFonts w:ascii="Times New Roman" w:hAnsi="Times New Roman" w:cs="Times New Roman"/>
          <w:sz w:val="24"/>
          <w:szCs w:val="24"/>
          <w:lang w:val="sr-Latn-RS"/>
        </w:rPr>
        <w:t xml:space="preserve"> </w:t>
      </w:r>
    </w:p>
    <w:p w14:paraId="05FE47F5" w14:textId="77777777" w:rsidR="00E820CE" w:rsidRPr="002916F9" w:rsidRDefault="00E820CE" w:rsidP="00E820CE">
      <w:pPr>
        <w:spacing w:after="240" w:line="240" w:lineRule="auto"/>
        <w:ind w:left="567" w:hanging="567"/>
        <w:jc w:val="left"/>
        <w:rPr>
          <w:rFonts w:eastAsia="Times New Roman" w:cs="Times New Roman"/>
          <w:szCs w:val="24"/>
        </w:rPr>
      </w:pPr>
      <w:r w:rsidRPr="002916F9">
        <w:rPr>
          <w:rFonts w:eastAsia="Times New Roman" w:cs="Times New Roman"/>
          <w:szCs w:val="24"/>
        </w:rPr>
        <w:t xml:space="preserve">Magenta Book, Central Government Guidance on evaluation, </w:t>
      </w:r>
      <w:r>
        <w:rPr>
          <w:rFonts w:eastAsia="Times New Roman" w:cs="Times New Roman"/>
          <w:szCs w:val="24"/>
          <w:lang w:val="sr-Cyrl-RS"/>
        </w:rPr>
        <w:t>досзупно на:</w:t>
      </w:r>
      <w:r w:rsidRPr="002916F9">
        <w:rPr>
          <w:rFonts w:eastAsia="Times New Roman" w:cs="Times New Roman"/>
          <w:szCs w:val="24"/>
        </w:rPr>
        <w:t xml:space="preserve"> </w:t>
      </w:r>
      <w:hyperlink r:id="rId20" w:history="1">
        <w:r w:rsidRPr="002916F9">
          <w:rPr>
            <w:rStyle w:val="Hyperlink"/>
            <w:rFonts w:eastAsia="Times New Roman" w:cs="Times New Roman"/>
            <w:szCs w:val="24"/>
          </w:rPr>
          <w:t>https://assets.publishing.service.gov.uk/government/uploads/system/uploads/attachment_data/file/879438/HMT_Magenta_Book.pdf</w:t>
        </w:r>
      </w:hyperlink>
    </w:p>
    <w:p w14:paraId="071B26CD"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sidRPr="002916F9">
        <w:rPr>
          <w:rFonts w:ascii="Times New Roman" w:hAnsi="Times New Roman" w:cs="Times New Roman"/>
          <w:sz w:val="24"/>
          <w:szCs w:val="24"/>
          <w:lang w:val="sr-Latn-RS"/>
        </w:rPr>
        <w:t xml:space="preserve">Monitoring, reporting and evaluation, UNDP programming manual, </w:t>
      </w:r>
      <w:r>
        <w:rPr>
          <w:rFonts w:ascii="Times New Roman" w:hAnsi="Times New Roman" w:cs="Times New Roman"/>
          <w:sz w:val="24"/>
          <w:szCs w:val="24"/>
          <w:lang w:val="sr-Cyrl-RS"/>
        </w:rPr>
        <w:t>доступно на</w:t>
      </w:r>
      <w:r w:rsidRPr="002916F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hyperlink r:id="rId21" w:history="1">
        <w:r w:rsidRPr="00044AC7">
          <w:rPr>
            <w:rStyle w:val="Hyperlink"/>
            <w:rFonts w:ascii="Times New Roman" w:hAnsi="Times New Roman" w:cs="Times New Roman"/>
            <w:sz w:val="24"/>
            <w:szCs w:val="24"/>
            <w:lang w:val="sr-Latn-RS"/>
          </w:rPr>
          <w:t>https://www.oecd.org/derec/undp/35419508.pdf</w:t>
        </w:r>
      </w:hyperlink>
      <w:r>
        <w:rPr>
          <w:rFonts w:ascii="Times New Roman" w:hAnsi="Times New Roman" w:cs="Times New Roman"/>
          <w:sz w:val="24"/>
          <w:szCs w:val="24"/>
          <w:lang w:val="sr-Latn-RS"/>
        </w:rPr>
        <w:t xml:space="preserve"> </w:t>
      </w:r>
    </w:p>
    <w:p w14:paraId="37AC2914" w14:textId="77777777" w:rsidR="00E820CE" w:rsidRPr="002916F9" w:rsidRDefault="00E820CE" w:rsidP="00E820CE">
      <w:pPr>
        <w:spacing w:after="240" w:line="240" w:lineRule="auto"/>
        <w:ind w:left="567" w:hanging="567"/>
        <w:jc w:val="left"/>
        <w:rPr>
          <w:rStyle w:val="Hyperlink"/>
          <w:rFonts w:eastAsia="Times New Roman" w:cs="Times New Roman"/>
          <w:szCs w:val="24"/>
          <w:lang w:val="sr-Cyrl-RS"/>
        </w:rPr>
      </w:pPr>
      <w:r w:rsidRPr="002916F9">
        <w:rPr>
          <w:rFonts w:eastAsia="Times New Roman" w:cs="Times New Roman"/>
          <w:szCs w:val="24"/>
        </w:rPr>
        <w:lastRenderedPageBreak/>
        <w:t xml:space="preserve">National qualifications framework developments in Europe, </w:t>
      </w:r>
      <w:r>
        <w:rPr>
          <w:rFonts w:eastAsia="Times New Roman" w:cs="Times New Roman"/>
          <w:szCs w:val="24"/>
          <w:lang w:val="sr-Cyrl-RS"/>
        </w:rPr>
        <w:t>доступно на</w:t>
      </w:r>
      <w:r w:rsidRPr="002916F9">
        <w:rPr>
          <w:rFonts w:eastAsia="Times New Roman" w:cs="Times New Roman"/>
          <w:szCs w:val="24"/>
        </w:rPr>
        <w:t>:</w:t>
      </w:r>
      <w:r>
        <w:rPr>
          <w:rFonts w:eastAsia="Times New Roman" w:cs="Times New Roman"/>
          <w:szCs w:val="24"/>
        </w:rPr>
        <w:t xml:space="preserve"> </w:t>
      </w:r>
      <w:hyperlink r:id="rId22" w:history="1">
        <w:r w:rsidRPr="002916F9">
          <w:rPr>
            <w:rStyle w:val="Hyperlink"/>
            <w:rFonts w:eastAsia="Times New Roman" w:cs="Times New Roman"/>
            <w:szCs w:val="24"/>
            <w:lang w:val="sr-Cyrl-RS"/>
          </w:rPr>
          <w:t>https://www.cedefop.europa.eu/files/4137_en.pdf</w:t>
        </w:r>
      </w:hyperlink>
    </w:p>
    <w:p w14:paraId="62B0A411" w14:textId="77777777" w:rsidR="00E820CE" w:rsidRPr="003D4FAC" w:rsidRDefault="00E820CE" w:rsidP="00E820CE">
      <w:pPr>
        <w:spacing w:after="240" w:line="240" w:lineRule="auto"/>
        <w:ind w:left="567" w:hanging="567"/>
        <w:jc w:val="left"/>
        <w:rPr>
          <w:rFonts w:eastAsia="Times New Roman" w:cs="Times New Roman"/>
          <w:szCs w:val="24"/>
          <w:lang w:val="sr-Cyrl-RS"/>
        </w:rPr>
      </w:pPr>
      <w:r w:rsidRPr="002916F9">
        <w:rPr>
          <w:rFonts w:eastAsia="Times New Roman" w:cs="Times New Roman"/>
          <w:szCs w:val="24"/>
        </w:rPr>
        <w:t>National</w:t>
      </w:r>
      <w:r w:rsidRPr="003D4FAC">
        <w:rPr>
          <w:rFonts w:eastAsia="Times New Roman" w:cs="Times New Roman"/>
          <w:szCs w:val="24"/>
          <w:lang w:val="sr-Cyrl-RS"/>
        </w:rPr>
        <w:t xml:space="preserve"> </w:t>
      </w:r>
      <w:r w:rsidRPr="002916F9">
        <w:rPr>
          <w:rFonts w:eastAsia="Times New Roman" w:cs="Times New Roman"/>
          <w:szCs w:val="24"/>
        </w:rPr>
        <w:t>qualifications</w:t>
      </w:r>
      <w:r w:rsidRPr="003D4FAC">
        <w:rPr>
          <w:rFonts w:eastAsia="Times New Roman" w:cs="Times New Roman"/>
          <w:szCs w:val="24"/>
          <w:lang w:val="sr-Cyrl-RS"/>
        </w:rPr>
        <w:t xml:space="preserve"> </w:t>
      </w:r>
      <w:r w:rsidRPr="002916F9">
        <w:rPr>
          <w:rFonts w:eastAsia="Times New Roman" w:cs="Times New Roman"/>
          <w:szCs w:val="24"/>
        </w:rPr>
        <w:t>frameworks</w:t>
      </w:r>
      <w:r w:rsidRPr="003D4FAC">
        <w:rPr>
          <w:rFonts w:eastAsia="Times New Roman" w:cs="Times New Roman"/>
          <w:szCs w:val="24"/>
          <w:lang w:val="sr-Cyrl-RS"/>
        </w:rPr>
        <w:t xml:space="preserve"> (</w:t>
      </w:r>
      <w:r w:rsidRPr="002916F9">
        <w:rPr>
          <w:rFonts w:eastAsia="Times New Roman" w:cs="Times New Roman"/>
          <w:szCs w:val="24"/>
        </w:rPr>
        <w:t>NQFs</w:t>
      </w:r>
      <w:r w:rsidRPr="003D4FAC">
        <w:rPr>
          <w:rFonts w:eastAsia="Times New Roman" w:cs="Times New Roman"/>
          <w:szCs w:val="24"/>
          <w:lang w:val="sr-Cyrl-RS"/>
        </w:rPr>
        <w:t xml:space="preserve">), </w:t>
      </w:r>
      <w:r>
        <w:rPr>
          <w:rFonts w:eastAsia="Times New Roman" w:cs="Times New Roman"/>
          <w:szCs w:val="24"/>
          <w:lang w:val="sr-Cyrl-RS"/>
        </w:rPr>
        <w:t>доступно на</w:t>
      </w:r>
      <w:r w:rsidRPr="003D4FAC">
        <w:rPr>
          <w:rFonts w:eastAsia="Times New Roman" w:cs="Times New Roman"/>
          <w:szCs w:val="24"/>
          <w:lang w:val="sr-Cyrl-RS"/>
        </w:rPr>
        <w:t xml:space="preserve">: </w:t>
      </w:r>
      <w:hyperlink r:id="rId23" w:history="1">
        <w:r w:rsidRPr="002916F9">
          <w:rPr>
            <w:rStyle w:val="Hyperlink"/>
            <w:rFonts w:eastAsia="Times New Roman" w:cs="Times New Roman"/>
            <w:szCs w:val="24"/>
          </w:rPr>
          <w:t>https</w:t>
        </w:r>
        <w:r w:rsidRPr="003D4FAC">
          <w:rPr>
            <w:rStyle w:val="Hyperlink"/>
            <w:rFonts w:eastAsia="Times New Roman" w:cs="Times New Roman"/>
            <w:szCs w:val="24"/>
            <w:lang w:val="sr-Cyrl-RS"/>
          </w:rPr>
          <w:t>://</w:t>
        </w:r>
        <w:r w:rsidRPr="002916F9">
          <w:rPr>
            <w:rStyle w:val="Hyperlink"/>
            <w:rFonts w:eastAsia="Times New Roman" w:cs="Times New Roman"/>
            <w:szCs w:val="24"/>
          </w:rPr>
          <w:t>europa</w:t>
        </w:r>
        <w:r w:rsidRPr="003D4FAC">
          <w:rPr>
            <w:rStyle w:val="Hyperlink"/>
            <w:rFonts w:eastAsia="Times New Roman" w:cs="Times New Roman"/>
            <w:szCs w:val="24"/>
            <w:lang w:val="sr-Cyrl-RS"/>
          </w:rPr>
          <w:t>.</w:t>
        </w:r>
        <w:r w:rsidRPr="002916F9">
          <w:rPr>
            <w:rStyle w:val="Hyperlink"/>
            <w:rFonts w:eastAsia="Times New Roman" w:cs="Times New Roman"/>
            <w:szCs w:val="24"/>
          </w:rPr>
          <w:t>eu</w:t>
        </w:r>
        <w:r w:rsidRPr="003D4FAC">
          <w:rPr>
            <w:rStyle w:val="Hyperlink"/>
            <w:rFonts w:eastAsia="Times New Roman" w:cs="Times New Roman"/>
            <w:szCs w:val="24"/>
            <w:lang w:val="sr-Cyrl-RS"/>
          </w:rPr>
          <w:t>/</w:t>
        </w:r>
        <w:r w:rsidRPr="002916F9">
          <w:rPr>
            <w:rStyle w:val="Hyperlink"/>
            <w:rFonts w:eastAsia="Times New Roman" w:cs="Times New Roman"/>
            <w:szCs w:val="24"/>
          </w:rPr>
          <w:t>europass</w:t>
        </w:r>
        <w:r w:rsidRPr="003D4FAC">
          <w:rPr>
            <w:rStyle w:val="Hyperlink"/>
            <w:rFonts w:eastAsia="Times New Roman" w:cs="Times New Roman"/>
            <w:szCs w:val="24"/>
            <w:lang w:val="sr-Cyrl-RS"/>
          </w:rPr>
          <w:t>/</w:t>
        </w:r>
        <w:r w:rsidRPr="002916F9">
          <w:rPr>
            <w:rStyle w:val="Hyperlink"/>
            <w:rFonts w:eastAsia="Times New Roman" w:cs="Times New Roman"/>
            <w:szCs w:val="24"/>
          </w:rPr>
          <w:t>en</w:t>
        </w:r>
        <w:r w:rsidRPr="003D4FAC">
          <w:rPr>
            <w:rStyle w:val="Hyperlink"/>
            <w:rFonts w:eastAsia="Times New Roman" w:cs="Times New Roman"/>
            <w:szCs w:val="24"/>
            <w:lang w:val="sr-Cyrl-RS"/>
          </w:rPr>
          <w:t>/</w:t>
        </w:r>
        <w:r w:rsidRPr="002916F9">
          <w:rPr>
            <w:rStyle w:val="Hyperlink"/>
            <w:rFonts w:eastAsia="Times New Roman" w:cs="Times New Roman"/>
            <w:szCs w:val="24"/>
          </w:rPr>
          <w:t>europass</w:t>
        </w:r>
        <w:r w:rsidRPr="003D4FAC">
          <w:rPr>
            <w:rStyle w:val="Hyperlink"/>
            <w:rFonts w:eastAsia="Times New Roman" w:cs="Times New Roman"/>
            <w:szCs w:val="24"/>
            <w:lang w:val="sr-Cyrl-RS"/>
          </w:rPr>
          <w:t>-</w:t>
        </w:r>
        <w:r w:rsidRPr="002916F9">
          <w:rPr>
            <w:rStyle w:val="Hyperlink"/>
            <w:rFonts w:eastAsia="Times New Roman" w:cs="Times New Roman"/>
            <w:szCs w:val="24"/>
          </w:rPr>
          <w:t>tools</w:t>
        </w:r>
        <w:r w:rsidRPr="003D4FAC">
          <w:rPr>
            <w:rStyle w:val="Hyperlink"/>
            <w:rFonts w:eastAsia="Times New Roman" w:cs="Times New Roman"/>
            <w:szCs w:val="24"/>
            <w:lang w:val="sr-Cyrl-RS"/>
          </w:rPr>
          <w:t>/</w:t>
        </w:r>
        <w:r w:rsidRPr="002916F9">
          <w:rPr>
            <w:rStyle w:val="Hyperlink"/>
            <w:rFonts w:eastAsia="Times New Roman" w:cs="Times New Roman"/>
            <w:szCs w:val="24"/>
          </w:rPr>
          <w:t>european</w:t>
        </w:r>
        <w:r w:rsidRPr="003D4FAC">
          <w:rPr>
            <w:rStyle w:val="Hyperlink"/>
            <w:rFonts w:eastAsia="Times New Roman" w:cs="Times New Roman"/>
            <w:szCs w:val="24"/>
            <w:lang w:val="sr-Cyrl-RS"/>
          </w:rPr>
          <w:t>-</w:t>
        </w:r>
        <w:r w:rsidRPr="002916F9">
          <w:rPr>
            <w:rStyle w:val="Hyperlink"/>
            <w:rFonts w:eastAsia="Times New Roman" w:cs="Times New Roman"/>
            <w:szCs w:val="24"/>
          </w:rPr>
          <w:t>qualifications</w:t>
        </w:r>
        <w:r w:rsidRPr="003D4FAC">
          <w:rPr>
            <w:rStyle w:val="Hyperlink"/>
            <w:rFonts w:eastAsia="Times New Roman" w:cs="Times New Roman"/>
            <w:szCs w:val="24"/>
            <w:lang w:val="sr-Cyrl-RS"/>
          </w:rPr>
          <w:t>-</w:t>
        </w:r>
        <w:r w:rsidRPr="002916F9">
          <w:rPr>
            <w:rStyle w:val="Hyperlink"/>
            <w:rFonts w:eastAsia="Times New Roman" w:cs="Times New Roman"/>
            <w:szCs w:val="24"/>
          </w:rPr>
          <w:t>framework</w:t>
        </w:r>
        <w:r w:rsidRPr="003D4FAC">
          <w:rPr>
            <w:rStyle w:val="Hyperlink"/>
            <w:rFonts w:eastAsia="Times New Roman" w:cs="Times New Roman"/>
            <w:szCs w:val="24"/>
            <w:lang w:val="sr-Cyrl-RS"/>
          </w:rPr>
          <w:t>/</w:t>
        </w:r>
        <w:r w:rsidRPr="002916F9">
          <w:rPr>
            <w:rStyle w:val="Hyperlink"/>
            <w:rFonts w:eastAsia="Times New Roman" w:cs="Times New Roman"/>
            <w:szCs w:val="24"/>
          </w:rPr>
          <w:t>national</w:t>
        </w:r>
        <w:r w:rsidRPr="003D4FAC">
          <w:rPr>
            <w:rStyle w:val="Hyperlink"/>
            <w:rFonts w:eastAsia="Times New Roman" w:cs="Times New Roman"/>
            <w:szCs w:val="24"/>
            <w:lang w:val="sr-Cyrl-RS"/>
          </w:rPr>
          <w:t>-</w:t>
        </w:r>
        <w:r w:rsidRPr="002916F9">
          <w:rPr>
            <w:rStyle w:val="Hyperlink"/>
            <w:rFonts w:eastAsia="Times New Roman" w:cs="Times New Roman"/>
            <w:szCs w:val="24"/>
          </w:rPr>
          <w:t>qualifications</w:t>
        </w:r>
        <w:r w:rsidRPr="003D4FAC">
          <w:rPr>
            <w:rStyle w:val="Hyperlink"/>
            <w:rFonts w:eastAsia="Times New Roman" w:cs="Times New Roman"/>
            <w:szCs w:val="24"/>
            <w:lang w:val="sr-Cyrl-RS"/>
          </w:rPr>
          <w:t>-</w:t>
        </w:r>
        <w:r w:rsidRPr="002916F9">
          <w:rPr>
            <w:rStyle w:val="Hyperlink"/>
            <w:rFonts w:eastAsia="Times New Roman" w:cs="Times New Roman"/>
            <w:szCs w:val="24"/>
          </w:rPr>
          <w:t>frameworks</w:t>
        </w:r>
      </w:hyperlink>
    </w:p>
    <w:p w14:paraId="2D930063" w14:textId="77777777" w:rsidR="00E820CE" w:rsidRPr="003D4FAC" w:rsidRDefault="00E820CE" w:rsidP="00E820CE">
      <w:pPr>
        <w:spacing w:after="240" w:line="240" w:lineRule="auto"/>
        <w:ind w:left="567" w:hanging="567"/>
        <w:jc w:val="left"/>
        <w:rPr>
          <w:rFonts w:eastAsia="Times New Roman" w:cs="Times New Roman"/>
          <w:szCs w:val="24"/>
          <w:lang w:val="sr-Cyrl-RS"/>
        </w:rPr>
      </w:pPr>
      <w:r w:rsidRPr="002916F9">
        <w:rPr>
          <w:rFonts w:eastAsia="Times New Roman" w:cs="Times New Roman"/>
          <w:szCs w:val="24"/>
        </w:rPr>
        <w:t>National</w:t>
      </w:r>
      <w:r w:rsidRPr="003D4FAC">
        <w:rPr>
          <w:rFonts w:eastAsia="Times New Roman" w:cs="Times New Roman"/>
          <w:szCs w:val="24"/>
          <w:lang w:val="sr-Cyrl-RS"/>
        </w:rPr>
        <w:t xml:space="preserve"> </w:t>
      </w:r>
      <w:r w:rsidRPr="002916F9">
        <w:rPr>
          <w:rFonts w:eastAsia="Times New Roman" w:cs="Times New Roman"/>
          <w:szCs w:val="24"/>
        </w:rPr>
        <w:t>qualifications</w:t>
      </w:r>
      <w:r w:rsidRPr="003D4FAC">
        <w:rPr>
          <w:rFonts w:eastAsia="Times New Roman" w:cs="Times New Roman"/>
          <w:szCs w:val="24"/>
          <w:lang w:val="sr-Cyrl-RS"/>
        </w:rPr>
        <w:t xml:space="preserve"> </w:t>
      </w:r>
      <w:r w:rsidRPr="002916F9">
        <w:rPr>
          <w:rFonts w:eastAsia="Times New Roman" w:cs="Times New Roman"/>
          <w:szCs w:val="24"/>
        </w:rPr>
        <w:t>framework</w:t>
      </w:r>
      <w:r w:rsidRPr="003D4FAC">
        <w:rPr>
          <w:rFonts w:eastAsia="Times New Roman" w:cs="Times New Roman"/>
          <w:szCs w:val="24"/>
          <w:lang w:val="sr-Cyrl-RS"/>
        </w:rPr>
        <w:t>-</w:t>
      </w:r>
      <w:r w:rsidRPr="002916F9">
        <w:rPr>
          <w:rFonts w:eastAsia="Times New Roman" w:cs="Times New Roman"/>
          <w:szCs w:val="24"/>
        </w:rPr>
        <w:t>Serbia</w:t>
      </w:r>
      <w:r w:rsidRPr="003D4FAC">
        <w:rPr>
          <w:rFonts w:eastAsia="Times New Roman" w:cs="Times New Roman"/>
          <w:szCs w:val="24"/>
          <w:lang w:val="sr-Cyrl-RS"/>
        </w:rPr>
        <w:t xml:space="preserve">, </w:t>
      </w:r>
      <w:r>
        <w:rPr>
          <w:rFonts w:eastAsia="Times New Roman" w:cs="Times New Roman"/>
          <w:szCs w:val="24"/>
          <w:lang w:val="sr-Cyrl-RS"/>
        </w:rPr>
        <w:t>доступно на</w:t>
      </w:r>
      <w:r w:rsidRPr="003D4FAC">
        <w:rPr>
          <w:rFonts w:eastAsia="Times New Roman" w:cs="Times New Roman"/>
          <w:szCs w:val="24"/>
          <w:lang w:val="sr-Cyrl-RS"/>
        </w:rPr>
        <w:t xml:space="preserve">: </w:t>
      </w:r>
      <w:r w:rsidRPr="002916F9">
        <w:rPr>
          <w:rFonts w:eastAsia="Times New Roman" w:cs="Times New Roman"/>
          <w:szCs w:val="24"/>
        </w:rPr>
        <w:t>https</w:t>
      </w:r>
      <w:r w:rsidRPr="003D4FAC">
        <w:rPr>
          <w:rFonts w:eastAsia="Times New Roman" w:cs="Times New Roman"/>
          <w:szCs w:val="24"/>
          <w:lang w:val="sr-Cyrl-RS"/>
        </w:rPr>
        <w:t>://</w:t>
      </w:r>
      <w:r w:rsidRPr="002916F9">
        <w:rPr>
          <w:rFonts w:eastAsia="Times New Roman" w:cs="Times New Roman"/>
          <w:szCs w:val="24"/>
        </w:rPr>
        <w:t>www</w:t>
      </w:r>
      <w:r w:rsidRPr="003D4FAC">
        <w:rPr>
          <w:rFonts w:eastAsia="Times New Roman" w:cs="Times New Roman"/>
          <w:szCs w:val="24"/>
          <w:lang w:val="sr-Cyrl-RS"/>
        </w:rPr>
        <w:t>.</w:t>
      </w:r>
      <w:r w:rsidRPr="002916F9">
        <w:rPr>
          <w:rFonts w:eastAsia="Times New Roman" w:cs="Times New Roman"/>
          <w:szCs w:val="24"/>
        </w:rPr>
        <w:t>etf</w:t>
      </w:r>
      <w:r w:rsidRPr="003D4FAC">
        <w:rPr>
          <w:rFonts w:eastAsia="Times New Roman" w:cs="Times New Roman"/>
          <w:szCs w:val="24"/>
          <w:lang w:val="sr-Cyrl-RS"/>
        </w:rPr>
        <w:t>.</w:t>
      </w:r>
      <w:r w:rsidRPr="002916F9">
        <w:rPr>
          <w:rFonts w:eastAsia="Times New Roman" w:cs="Times New Roman"/>
          <w:szCs w:val="24"/>
        </w:rPr>
        <w:t>europa</w:t>
      </w:r>
      <w:r w:rsidRPr="003D4FAC">
        <w:rPr>
          <w:rFonts w:eastAsia="Times New Roman" w:cs="Times New Roman"/>
          <w:szCs w:val="24"/>
          <w:lang w:val="sr-Cyrl-RS"/>
        </w:rPr>
        <w:t>.</w:t>
      </w:r>
      <w:r w:rsidRPr="002916F9">
        <w:rPr>
          <w:rFonts w:eastAsia="Times New Roman" w:cs="Times New Roman"/>
          <w:szCs w:val="24"/>
        </w:rPr>
        <w:t>eu</w:t>
      </w:r>
      <w:r w:rsidRPr="003D4FAC">
        <w:rPr>
          <w:rFonts w:eastAsia="Times New Roman" w:cs="Times New Roman"/>
          <w:szCs w:val="24"/>
          <w:lang w:val="sr-Cyrl-RS"/>
        </w:rPr>
        <w:t>/</w:t>
      </w:r>
      <w:r w:rsidRPr="002916F9">
        <w:rPr>
          <w:rFonts w:eastAsia="Times New Roman" w:cs="Times New Roman"/>
          <w:szCs w:val="24"/>
        </w:rPr>
        <w:t>sites</w:t>
      </w:r>
      <w:r w:rsidRPr="003D4FAC">
        <w:rPr>
          <w:rFonts w:eastAsia="Times New Roman" w:cs="Times New Roman"/>
          <w:szCs w:val="24"/>
          <w:lang w:val="sr-Cyrl-RS"/>
        </w:rPr>
        <w:t>/</w:t>
      </w:r>
      <w:r w:rsidRPr="002916F9">
        <w:rPr>
          <w:rFonts w:eastAsia="Times New Roman" w:cs="Times New Roman"/>
          <w:szCs w:val="24"/>
        </w:rPr>
        <w:t>default</w:t>
      </w:r>
      <w:r w:rsidRPr="003D4FAC">
        <w:rPr>
          <w:rFonts w:eastAsia="Times New Roman" w:cs="Times New Roman"/>
          <w:szCs w:val="24"/>
          <w:lang w:val="sr-Cyrl-RS"/>
        </w:rPr>
        <w:t>/</w:t>
      </w:r>
      <w:r w:rsidRPr="002916F9">
        <w:rPr>
          <w:rFonts w:eastAsia="Times New Roman" w:cs="Times New Roman"/>
          <w:szCs w:val="24"/>
        </w:rPr>
        <w:t>files</w:t>
      </w:r>
      <w:r w:rsidRPr="003D4FAC">
        <w:rPr>
          <w:rFonts w:eastAsia="Times New Roman" w:cs="Times New Roman"/>
          <w:szCs w:val="24"/>
          <w:lang w:val="sr-Cyrl-RS"/>
        </w:rPr>
        <w:t>/</w:t>
      </w:r>
      <w:r w:rsidRPr="002916F9">
        <w:rPr>
          <w:rFonts w:eastAsia="Times New Roman" w:cs="Times New Roman"/>
          <w:szCs w:val="24"/>
        </w:rPr>
        <w:t>document</w:t>
      </w:r>
      <w:r w:rsidRPr="003D4FAC">
        <w:rPr>
          <w:rFonts w:eastAsia="Times New Roman" w:cs="Times New Roman"/>
          <w:szCs w:val="24"/>
          <w:lang w:val="sr-Cyrl-RS"/>
        </w:rPr>
        <w:t>/</w:t>
      </w:r>
      <w:r w:rsidRPr="002916F9">
        <w:rPr>
          <w:rFonts w:eastAsia="Times New Roman" w:cs="Times New Roman"/>
          <w:szCs w:val="24"/>
        </w:rPr>
        <w:t>Serbia</w:t>
      </w:r>
      <w:r w:rsidRPr="003D4FAC">
        <w:rPr>
          <w:rFonts w:eastAsia="Times New Roman" w:cs="Times New Roman"/>
          <w:szCs w:val="24"/>
          <w:lang w:val="sr-Cyrl-RS"/>
        </w:rPr>
        <w:t>.</w:t>
      </w:r>
      <w:r w:rsidRPr="002916F9">
        <w:rPr>
          <w:rFonts w:eastAsia="Times New Roman" w:cs="Times New Roman"/>
          <w:szCs w:val="24"/>
        </w:rPr>
        <w:t>pdf</w:t>
      </w:r>
    </w:p>
    <w:p w14:paraId="7B829221"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sidRPr="002916F9">
        <w:rPr>
          <w:rFonts w:ascii="Times New Roman" w:hAnsi="Times New Roman" w:cs="Times New Roman"/>
          <w:sz w:val="24"/>
          <w:szCs w:val="24"/>
          <w:lang w:val="sr-Cyrl-RS"/>
        </w:rPr>
        <w:t>Нивои и дескриптори квалификација у НОКС-у, доступно на:</w:t>
      </w:r>
      <w:r>
        <w:rPr>
          <w:rFonts w:ascii="Times New Roman" w:hAnsi="Times New Roman" w:cs="Times New Roman"/>
          <w:sz w:val="24"/>
          <w:szCs w:val="24"/>
          <w:lang w:val="sr-Latn-RS"/>
        </w:rPr>
        <w:t xml:space="preserve"> </w:t>
      </w:r>
      <w:hyperlink r:id="rId24" w:history="1">
        <w:r w:rsidRPr="002916F9">
          <w:rPr>
            <w:rStyle w:val="Hyperlink"/>
            <w:rFonts w:ascii="Times New Roman" w:hAnsi="Times New Roman" w:cs="Times New Roman"/>
            <w:sz w:val="24"/>
            <w:szCs w:val="24"/>
            <w:lang w:val="sr-Latn-RS"/>
          </w:rPr>
          <w:t>http://noks.mpn.gov.rs/sr_lat/uporedna-tabela-nivoa-kvalifikacija-i-vrsta-obrazovanja/</w:t>
        </w:r>
      </w:hyperlink>
    </w:p>
    <w:p w14:paraId="5B2CF6B8"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Pr>
          <w:rFonts w:ascii="Times New Roman" w:hAnsi="Times New Roman" w:cs="Times New Roman"/>
          <w:sz w:val="24"/>
          <w:szCs w:val="24"/>
          <w:lang w:val="sr-Cyrl-RS"/>
        </w:rPr>
        <w:t>НОКС интернет презентација</w:t>
      </w:r>
      <w:r w:rsidRPr="002916F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доступно на</w:t>
      </w:r>
      <w:r w:rsidRPr="002916F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hyperlink r:id="rId25" w:history="1">
        <w:r w:rsidRPr="00044AC7">
          <w:rPr>
            <w:rStyle w:val="Hyperlink"/>
            <w:rFonts w:ascii="Times New Roman" w:hAnsi="Times New Roman" w:cs="Times New Roman"/>
            <w:sz w:val="24"/>
            <w:szCs w:val="24"/>
            <w:lang w:val="sr-Latn-RS"/>
          </w:rPr>
          <w:t>http://noks.mpn.gov.rs/</w:t>
        </w:r>
      </w:hyperlink>
      <w:r>
        <w:rPr>
          <w:rFonts w:ascii="Times New Roman" w:hAnsi="Times New Roman" w:cs="Times New Roman"/>
          <w:sz w:val="24"/>
          <w:szCs w:val="24"/>
          <w:lang w:val="sr-Latn-RS"/>
        </w:rPr>
        <w:t xml:space="preserve"> </w:t>
      </w:r>
    </w:p>
    <w:p w14:paraId="6701DF10" w14:textId="77777777" w:rsidR="00E820CE" w:rsidRPr="002916F9" w:rsidRDefault="00E820CE" w:rsidP="00E820CE">
      <w:pPr>
        <w:pStyle w:val="FootnoteText"/>
        <w:spacing w:after="240"/>
        <w:ind w:left="567" w:hanging="567"/>
        <w:rPr>
          <w:rFonts w:ascii="Times New Roman" w:hAnsi="Times New Roman" w:cs="Times New Roman"/>
          <w:sz w:val="24"/>
          <w:szCs w:val="24"/>
          <w:lang w:val="sr-Latn-RS"/>
        </w:rPr>
      </w:pPr>
      <w:r>
        <w:rPr>
          <w:rFonts w:ascii="Times New Roman" w:hAnsi="Times New Roman" w:cs="Times New Roman"/>
          <w:sz w:val="24"/>
          <w:szCs w:val="24"/>
          <w:lang w:val="sr-Cyrl-RS"/>
        </w:rPr>
        <w:t>Приручник за управљање јавним  политикама</w:t>
      </w:r>
      <w:r w:rsidRPr="002916F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доступно на</w:t>
      </w:r>
      <w:r w:rsidRPr="002916F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hyperlink r:id="rId26" w:history="1">
        <w:r w:rsidRPr="00044AC7">
          <w:rPr>
            <w:rStyle w:val="Hyperlink"/>
            <w:rFonts w:ascii="Times New Roman" w:hAnsi="Times New Roman" w:cs="Times New Roman"/>
            <w:sz w:val="24"/>
            <w:szCs w:val="24"/>
            <w:lang w:val="sr-Latn-RS"/>
          </w:rPr>
          <w:t>https://rsjp.gov.rs/wp-content/uploads/Prirucnik-za-upravljanje-javnim-politikama-sa-aneksima-za-objavljivanje-07-09-2021.pdf</w:t>
        </w:r>
      </w:hyperlink>
      <w:r>
        <w:rPr>
          <w:rFonts w:ascii="Times New Roman" w:hAnsi="Times New Roman" w:cs="Times New Roman"/>
          <w:sz w:val="24"/>
          <w:szCs w:val="24"/>
          <w:lang w:val="sr-Latn-RS"/>
        </w:rPr>
        <w:t xml:space="preserve"> </w:t>
      </w:r>
    </w:p>
    <w:p w14:paraId="4DD74A12" w14:textId="77777777" w:rsidR="00E820CE" w:rsidRPr="002916F9" w:rsidRDefault="00E820CE" w:rsidP="00E820CE">
      <w:pPr>
        <w:spacing w:after="240" w:line="240" w:lineRule="auto"/>
        <w:ind w:left="567" w:hanging="567"/>
        <w:jc w:val="left"/>
        <w:rPr>
          <w:rFonts w:eastAsia="Times New Roman" w:cs="Times New Roman"/>
          <w:szCs w:val="24"/>
        </w:rPr>
      </w:pPr>
      <w:r w:rsidRPr="002916F9">
        <w:rPr>
          <w:rFonts w:eastAsia="Times New Roman" w:cs="Times New Roman"/>
          <w:szCs w:val="24"/>
        </w:rPr>
        <w:t xml:space="preserve">Research methods for policy evaluation, </w:t>
      </w:r>
      <w:r>
        <w:rPr>
          <w:rFonts w:eastAsia="Times New Roman" w:cs="Times New Roman"/>
          <w:szCs w:val="24"/>
          <w:lang w:val="sr-Cyrl-RS"/>
        </w:rPr>
        <w:t>доступно на</w:t>
      </w:r>
      <w:r w:rsidRPr="002916F9">
        <w:rPr>
          <w:rFonts w:eastAsia="Times New Roman" w:cs="Times New Roman"/>
          <w:szCs w:val="24"/>
        </w:rPr>
        <w:t>:</w:t>
      </w:r>
      <w:r>
        <w:rPr>
          <w:rFonts w:eastAsia="Times New Roman" w:cs="Times New Roman"/>
          <w:szCs w:val="24"/>
        </w:rPr>
        <w:t xml:space="preserve"> </w:t>
      </w:r>
      <w:hyperlink r:id="rId27" w:history="1">
        <w:r w:rsidRPr="00044AC7">
          <w:rPr>
            <w:rStyle w:val="Hyperlink"/>
            <w:rFonts w:eastAsia="Times New Roman" w:cs="Times New Roman"/>
            <w:szCs w:val="24"/>
          </w:rPr>
          <w:t>https://www.researchgate.net/publication/236144404_Research_Methods_For_Policy_Evaluation</w:t>
        </w:r>
      </w:hyperlink>
      <w:r>
        <w:rPr>
          <w:rFonts w:eastAsia="Times New Roman" w:cs="Times New Roman"/>
          <w:szCs w:val="24"/>
        </w:rPr>
        <w:t xml:space="preserve"> </w:t>
      </w:r>
    </w:p>
    <w:p w14:paraId="57416589" w14:textId="77777777" w:rsidR="00E820CE" w:rsidRPr="002916F9" w:rsidRDefault="00E820CE" w:rsidP="00E820CE">
      <w:pPr>
        <w:pStyle w:val="FootnoteText"/>
        <w:spacing w:after="240"/>
        <w:ind w:left="567" w:hanging="567"/>
        <w:rPr>
          <w:rFonts w:ascii="Times New Roman" w:hAnsi="Times New Roman" w:cs="Times New Roman"/>
          <w:sz w:val="24"/>
          <w:szCs w:val="24"/>
          <w:lang w:val="sr-Cyrl-RS"/>
        </w:rPr>
      </w:pPr>
      <w:r>
        <w:rPr>
          <w:rFonts w:ascii="Times New Roman" w:hAnsi="Times New Roman" w:cs="Times New Roman"/>
          <w:sz w:val="24"/>
          <w:szCs w:val="24"/>
          <w:lang w:val="sr-Cyrl-RS"/>
        </w:rPr>
        <w:t>Стратегија каријерног вођења и саветовања у Републици Србији, доступно на:</w:t>
      </w:r>
      <w:r w:rsidRPr="002916F9">
        <w:rPr>
          <w:rFonts w:ascii="Times New Roman" w:hAnsi="Times New Roman" w:cs="Times New Roman"/>
          <w:sz w:val="24"/>
          <w:szCs w:val="24"/>
          <w:lang w:val="sr-Latn-RS"/>
        </w:rPr>
        <w:t xml:space="preserve"> </w:t>
      </w:r>
      <w:hyperlink r:id="rId28" w:history="1">
        <w:r w:rsidRPr="00044AC7">
          <w:rPr>
            <w:rStyle w:val="Hyperlink"/>
            <w:rFonts w:ascii="Times New Roman" w:hAnsi="Times New Roman" w:cs="Times New Roman"/>
            <w:sz w:val="24"/>
            <w:szCs w:val="24"/>
            <w:lang w:val="sr-Latn-RS"/>
          </w:rPr>
          <w:t>https://www.nsz.gov.rs/live/digitalAssets/1/1336_skvis_strategijakarijernog.pdf</w:t>
        </w:r>
      </w:hyperlink>
      <w:r>
        <w:rPr>
          <w:rFonts w:ascii="Times New Roman" w:hAnsi="Times New Roman" w:cs="Times New Roman"/>
          <w:sz w:val="24"/>
          <w:szCs w:val="24"/>
          <w:lang w:val="sr-Cyrl-RS"/>
        </w:rPr>
        <w:t xml:space="preserve"> </w:t>
      </w:r>
    </w:p>
    <w:p w14:paraId="02E1202D" w14:textId="77777777" w:rsidR="00E820CE" w:rsidRPr="002916F9" w:rsidRDefault="00E820CE" w:rsidP="00E820CE">
      <w:pPr>
        <w:pStyle w:val="FootnoteText"/>
        <w:spacing w:after="240"/>
        <w:ind w:left="567" w:hanging="567"/>
        <w:rPr>
          <w:rFonts w:ascii="Times New Roman" w:hAnsi="Times New Roman" w:cs="Times New Roman"/>
          <w:sz w:val="24"/>
          <w:szCs w:val="24"/>
          <w:lang w:val="sr-Cyrl-RS"/>
        </w:rPr>
      </w:pPr>
      <w:r>
        <w:rPr>
          <w:rFonts w:ascii="Times New Roman" w:hAnsi="Times New Roman" w:cs="Times New Roman"/>
          <w:sz w:val="24"/>
          <w:szCs w:val="24"/>
          <w:lang w:val="sr-Cyrl-RS"/>
        </w:rPr>
        <w:t>Стратегија развоја образовања у Србији до 2020. године, доступно на:</w:t>
      </w:r>
      <w:r w:rsidRPr="003D4FAC">
        <w:rPr>
          <w:rFonts w:ascii="Times New Roman" w:hAnsi="Times New Roman" w:cs="Times New Roman"/>
          <w:sz w:val="24"/>
          <w:szCs w:val="24"/>
          <w:lang w:val="sr-Cyrl-RS"/>
        </w:rPr>
        <w:t xml:space="preserve"> </w:t>
      </w:r>
      <w:hyperlink r:id="rId29" w:history="1">
        <w:r w:rsidRPr="00044AC7">
          <w:rPr>
            <w:rStyle w:val="Hyperlink"/>
            <w:rFonts w:ascii="Times New Roman" w:hAnsi="Times New Roman" w:cs="Times New Roman"/>
            <w:sz w:val="24"/>
            <w:szCs w:val="24"/>
          </w:rPr>
          <w:t>https</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www</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mpn</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gov</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rs</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wp</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content</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uploads</w:t>
        </w:r>
        <w:r w:rsidRPr="003D4FAC">
          <w:rPr>
            <w:rStyle w:val="Hyperlink"/>
            <w:rFonts w:ascii="Times New Roman" w:hAnsi="Times New Roman" w:cs="Times New Roman"/>
            <w:sz w:val="24"/>
            <w:szCs w:val="24"/>
            <w:lang w:val="sr-Cyrl-RS"/>
          </w:rPr>
          <w:t>/2015/08/</w:t>
        </w:r>
        <w:r w:rsidRPr="00044AC7">
          <w:rPr>
            <w:rStyle w:val="Hyperlink"/>
            <w:rFonts w:ascii="Times New Roman" w:hAnsi="Times New Roman" w:cs="Times New Roman"/>
            <w:sz w:val="24"/>
            <w:szCs w:val="24"/>
          </w:rPr>
          <w:t>STRATEGIJA</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OBRAZOVANJA</w:t>
        </w:r>
        <w:r w:rsidRPr="003D4FAC">
          <w:rPr>
            <w:rStyle w:val="Hyperlink"/>
            <w:rFonts w:ascii="Times New Roman" w:hAnsi="Times New Roman" w:cs="Times New Roman"/>
            <w:sz w:val="24"/>
            <w:szCs w:val="24"/>
            <w:lang w:val="sr-Cyrl-RS"/>
          </w:rPr>
          <w:t>.</w:t>
        </w:r>
        <w:r w:rsidRPr="00044AC7">
          <w:rPr>
            <w:rStyle w:val="Hyperlink"/>
            <w:rFonts w:ascii="Times New Roman" w:hAnsi="Times New Roman" w:cs="Times New Roman"/>
            <w:sz w:val="24"/>
            <w:szCs w:val="24"/>
          </w:rPr>
          <w:t>pdf</w:t>
        </w:r>
      </w:hyperlink>
      <w:r>
        <w:rPr>
          <w:rFonts w:ascii="Times New Roman" w:hAnsi="Times New Roman" w:cs="Times New Roman"/>
          <w:sz w:val="24"/>
          <w:szCs w:val="24"/>
          <w:lang w:val="sr-Cyrl-RS"/>
        </w:rPr>
        <w:t xml:space="preserve"> </w:t>
      </w:r>
    </w:p>
    <w:p w14:paraId="119C04F0" w14:textId="77777777" w:rsidR="00E820CE" w:rsidRPr="002916F9" w:rsidRDefault="00E820CE" w:rsidP="00E820CE">
      <w:pPr>
        <w:spacing w:after="240" w:line="240" w:lineRule="auto"/>
        <w:ind w:left="567" w:hanging="567"/>
        <w:jc w:val="left"/>
        <w:rPr>
          <w:rFonts w:eastAsia="Times New Roman" w:cs="Times New Roman"/>
          <w:szCs w:val="24"/>
          <w:lang w:val="sr-Cyrl-RS"/>
        </w:rPr>
      </w:pPr>
      <w:r w:rsidRPr="002916F9">
        <w:rPr>
          <w:rFonts w:eastAsia="Times New Roman" w:cs="Times New Roman"/>
          <w:szCs w:val="24"/>
          <w:lang w:val="en-GB"/>
        </w:rPr>
        <w:t>The national qualifications frame</w:t>
      </w:r>
      <w:r>
        <w:rPr>
          <w:rFonts w:eastAsia="Times New Roman" w:cs="Times New Roman"/>
          <w:szCs w:val="24"/>
          <w:lang w:val="en-GB"/>
        </w:rPr>
        <w:t>w</w:t>
      </w:r>
      <w:r w:rsidRPr="002916F9">
        <w:rPr>
          <w:rFonts w:eastAsia="Times New Roman" w:cs="Times New Roman"/>
          <w:szCs w:val="24"/>
          <w:lang w:val="en-GB"/>
        </w:rPr>
        <w:t xml:space="preserve">ork and quality assurance, </w:t>
      </w:r>
      <w:r w:rsidRPr="002916F9">
        <w:rPr>
          <w:rFonts w:eastAsia="Times New Roman" w:cs="Times New Roman"/>
          <w:szCs w:val="24"/>
          <w:lang w:val="sr-Cyrl-RS"/>
        </w:rPr>
        <w:t>доступно на</w:t>
      </w:r>
      <w:r w:rsidRPr="002916F9">
        <w:rPr>
          <w:rFonts w:eastAsia="Times New Roman" w:cs="Times New Roman"/>
          <w:szCs w:val="24"/>
          <w:lang w:val="en-GB"/>
        </w:rPr>
        <w:t>:</w:t>
      </w:r>
      <w:r>
        <w:rPr>
          <w:rFonts w:eastAsia="Times New Roman" w:cs="Times New Roman"/>
          <w:szCs w:val="24"/>
          <w:lang w:val="sr-Cyrl-RS"/>
        </w:rPr>
        <w:t xml:space="preserve"> </w:t>
      </w:r>
      <w:hyperlink r:id="rId30" w:history="1">
        <w:r w:rsidRPr="00044AC7">
          <w:rPr>
            <w:rStyle w:val="Hyperlink"/>
            <w:rFonts w:eastAsia="Times New Roman" w:cs="Times New Roman"/>
            <w:szCs w:val="24"/>
            <w:lang w:val="en-GB"/>
          </w:rPr>
          <w:t>https://www.saqa.org.za/docs/pol/2003/quality_assure.pdf</w:t>
        </w:r>
      </w:hyperlink>
      <w:r>
        <w:rPr>
          <w:rFonts w:eastAsia="Times New Roman" w:cs="Times New Roman"/>
          <w:szCs w:val="24"/>
          <w:lang w:val="sr-Cyrl-RS"/>
        </w:rPr>
        <w:t xml:space="preserve"> </w:t>
      </w:r>
    </w:p>
    <w:p w14:paraId="29763393" w14:textId="77777777" w:rsidR="00E820CE" w:rsidRPr="002916F9" w:rsidRDefault="00E820CE" w:rsidP="00E820CE">
      <w:pPr>
        <w:spacing w:after="240" w:line="240" w:lineRule="auto"/>
        <w:ind w:left="567" w:hanging="567"/>
        <w:jc w:val="left"/>
        <w:rPr>
          <w:rFonts w:eastAsia="Times New Roman" w:cs="Times New Roman"/>
          <w:szCs w:val="24"/>
          <w:lang w:val="sr-Cyrl-RS"/>
        </w:rPr>
      </w:pPr>
      <w:r>
        <w:rPr>
          <w:rFonts w:eastAsia="Times New Roman" w:cs="Times New Roman"/>
          <w:szCs w:val="24"/>
          <w:lang w:val="sr-Cyrl-RS"/>
        </w:rPr>
        <w:t xml:space="preserve">Уредба о методологији управљања јавним политикама, анализи ефеката јавних политика и прописа и садржају појединачних докумената јавних политика, доступно на: </w:t>
      </w:r>
      <w:hyperlink r:id="rId31" w:history="1">
        <w:r w:rsidRPr="00044AC7">
          <w:rPr>
            <w:rStyle w:val="Hyperlink"/>
            <w:rFonts w:eastAsia="Times New Roman" w:cs="Times New Roman"/>
            <w:szCs w:val="24"/>
            <w:lang w:val="sr-Latn-RS"/>
          </w:rPr>
          <w:t>https://www.pravno-informacioni-sistem.rs/SlGlasnikPortal/eli/rep/sgrs/vlada/uredba/2019/8/9/reg</w:t>
        </w:r>
      </w:hyperlink>
      <w:r>
        <w:rPr>
          <w:rFonts w:eastAsia="Times New Roman" w:cs="Times New Roman"/>
          <w:szCs w:val="24"/>
          <w:lang w:val="sr-Cyrl-RS"/>
        </w:rPr>
        <w:t xml:space="preserve"> </w:t>
      </w:r>
    </w:p>
    <w:p w14:paraId="36D2FF66" w14:textId="71A8F1CE" w:rsidR="0006387C" w:rsidRDefault="0006387C" w:rsidP="00F83FEC">
      <w:pPr>
        <w:spacing w:after="120" w:line="288" w:lineRule="auto"/>
        <w:ind w:left="567" w:firstLine="0"/>
        <w:jc w:val="left"/>
        <w:rPr>
          <w:rFonts w:eastAsia="Times New Roman"/>
          <w:lang w:val="sr-Cyrl-RS"/>
        </w:rPr>
      </w:pPr>
    </w:p>
    <w:p w14:paraId="38443863" w14:textId="77777777" w:rsidR="00A912FE" w:rsidRPr="00511B43" w:rsidRDefault="00A912FE" w:rsidP="00A912FE">
      <w:pPr>
        <w:spacing w:line="360" w:lineRule="auto"/>
        <w:jc w:val="right"/>
        <w:rPr>
          <w:rFonts w:cs="Times New Roman"/>
          <w:lang w:val="sr-Cyrl-RS"/>
        </w:rPr>
      </w:pPr>
    </w:p>
    <w:sectPr w:rsidR="00A912FE" w:rsidRPr="00511B43" w:rsidSect="00511B43">
      <w:footerReference w:type="default" r:id="rId32"/>
      <w:pgSz w:w="11906" w:h="16838" w:code="9"/>
      <w:pgMar w:top="1418" w:right="1418" w:bottom="1418" w:left="1418" w:header="851"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B56E" w14:textId="77777777" w:rsidR="00D76DF0" w:rsidRDefault="00D76DF0" w:rsidP="00AE32FF">
      <w:pPr>
        <w:spacing w:line="240" w:lineRule="auto"/>
      </w:pPr>
      <w:r>
        <w:separator/>
      </w:r>
    </w:p>
  </w:endnote>
  <w:endnote w:type="continuationSeparator" w:id="0">
    <w:p w14:paraId="372DC33B" w14:textId="77777777" w:rsidR="00D76DF0" w:rsidRDefault="00D76DF0" w:rsidP="00AE3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6CAA" w14:textId="77777777" w:rsidR="007620BB" w:rsidRDefault="0076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85CE" w14:textId="1E4113A3" w:rsidR="007620BB" w:rsidRDefault="007620BB" w:rsidP="007620BB">
    <w:pPr>
      <w:pStyle w:val="Footer"/>
      <w:ind w:firstLine="0"/>
      <w:jc w:val="center"/>
    </w:pPr>
    <w:r>
      <w:rPr>
        <w:noProof/>
      </w:rPr>
      <mc:AlternateContent>
        <mc:Choice Requires="wps">
          <w:drawing>
            <wp:anchor distT="0" distB="0" distL="114300" distR="114300" simplePos="0" relativeHeight="251662336" behindDoc="0" locked="0" layoutInCell="1" allowOverlap="1" wp14:anchorId="57BC8CFC" wp14:editId="352C59B0">
              <wp:simplePos x="0" y="0"/>
              <wp:positionH relativeFrom="column">
                <wp:posOffset>-5080</wp:posOffset>
              </wp:positionH>
              <wp:positionV relativeFrom="paragraph">
                <wp:posOffset>-20320</wp:posOffset>
              </wp:positionV>
              <wp:extent cx="5791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6184A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6pt" to="45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" strokecolor="black [3213]" strokeweight=".5pt">
              <v:stroke joinstyle="miter"/>
            </v:line>
          </w:pict>
        </mc:Fallback>
      </mc:AlternateContent>
    </w:r>
    <w:r>
      <w:fldChar w:fldCharType="begin"/>
    </w:r>
    <w:r>
      <w:instrText>PAGE   \* MERGEFORMAT</w:instrText>
    </w:r>
    <w:r>
      <w:fldChar w:fldCharType="separate"/>
    </w:r>
    <w:r w:rsidR="007D7F94" w:rsidRPr="007D7F94">
      <w:rPr>
        <w:noProof/>
        <w:lang w:val="sr-Latn-RS"/>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ABBB" w14:textId="77777777" w:rsidR="00D76DF0" w:rsidRDefault="00D76DF0" w:rsidP="00AE32FF">
      <w:pPr>
        <w:spacing w:line="240" w:lineRule="auto"/>
      </w:pPr>
      <w:r>
        <w:separator/>
      </w:r>
    </w:p>
  </w:footnote>
  <w:footnote w:type="continuationSeparator" w:id="0">
    <w:p w14:paraId="23DBB942" w14:textId="77777777" w:rsidR="00D76DF0" w:rsidRDefault="00D76DF0" w:rsidP="00AE32FF">
      <w:pPr>
        <w:spacing w:line="240" w:lineRule="auto"/>
      </w:pPr>
      <w:r>
        <w:continuationSeparator/>
      </w:r>
    </w:p>
  </w:footnote>
  <w:footnote w:id="1">
    <w:p w14:paraId="3061E672" w14:textId="77777777" w:rsidR="002E1F9F" w:rsidRPr="002E1F9F" w:rsidRDefault="00AE32FF" w:rsidP="002E1F9F">
      <w:pPr>
        <w:spacing w:line="240" w:lineRule="auto"/>
        <w:ind w:firstLine="0"/>
        <w:rPr>
          <w:rFonts w:cs="Times New Roman"/>
          <w:sz w:val="20"/>
          <w:szCs w:val="20"/>
        </w:rPr>
      </w:pPr>
      <w:r>
        <w:rPr>
          <w:rStyle w:val="FootnoteReference"/>
        </w:rPr>
        <w:footnoteRef/>
      </w:r>
      <w:r w:rsidRPr="003F5A34">
        <w:t xml:space="preserve"> </w:t>
      </w:r>
      <w:r w:rsidR="002E1F9F" w:rsidRPr="002E1F9F">
        <w:rPr>
          <w:rFonts w:cs="Times New Roman"/>
          <w:sz w:val="20"/>
          <w:szCs w:val="20"/>
          <w:lang w:val="sr-Latn-RS"/>
        </w:rPr>
        <w:t>Стратегија развоја образовања у Србији до 2020. године, доступно на</w:t>
      </w:r>
    </w:p>
    <w:p w14:paraId="60C0E154" w14:textId="40DD2856" w:rsidR="00AE32FF" w:rsidRPr="002E1F9F" w:rsidRDefault="00AE32FF" w:rsidP="002E1F9F">
      <w:pPr>
        <w:pStyle w:val="FootnoteText"/>
        <w:rPr>
          <w:lang w:val="sr-Cyrl-RS"/>
        </w:rPr>
      </w:pPr>
      <w:r w:rsidRPr="002E1F9F">
        <w:rPr>
          <w:rFonts w:ascii="Times New Roman" w:hAnsi="Times New Roman" w:cs="Times New Roman"/>
          <w:lang w:val="sr-Latn-RS"/>
        </w:rPr>
        <w:t xml:space="preserve"> </w:t>
      </w:r>
      <w:hyperlink r:id="rId1" w:history="1">
        <w:r w:rsidR="002E1F9F" w:rsidRPr="00C13517">
          <w:rPr>
            <w:rStyle w:val="Hyperlink"/>
            <w:rFonts w:ascii="Times New Roman" w:hAnsi="Times New Roman" w:cs="Times New Roman"/>
            <w:lang w:val="sr-Latn-RS"/>
          </w:rPr>
          <w:t>https://www.mpn.gov.rs/wp-content/uploads/2015/08/STRATEGIJA-OBRAZOVANJA.pdf</w:t>
        </w:r>
      </w:hyperlink>
      <w:r w:rsidR="002E1F9F">
        <w:rPr>
          <w:rFonts w:ascii="Times New Roman" w:hAnsi="Times New Roman" w:cs="Times New Roman"/>
          <w:lang w:val="sr-Cyrl-RS"/>
        </w:rPr>
        <w:t xml:space="preserve"> </w:t>
      </w:r>
    </w:p>
  </w:footnote>
  <w:footnote w:id="2">
    <w:p w14:paraId="1EF50C3A" w14:textId="77777777" w:rsidR="00511B43" w:rsidRDefault="002E1F9F" w:rsidP="007620BB">
      <w:pPr>
        <w:spacing w:line="240" w:lineRule="auto"/>
        <w:ind w:firstLine="0"/>
        <w:jc w:val="left"/>
        <w:rPr>
          <w:rFonts w:cs="Times New Roman"/>
          <w:sz w:val="20"/>
          <w:szCs w:val="20"/>
        </w:rPr>
      </w:pPr>
      <w:r>
        <w:rPr>
          <w:rStyle w:val="FootnoteReference"/>
        </w:rPr>
        <w:footnoteRef/>
      </w:r>
      <w:r w:rsidRPr="00D66C3C">
        <w:rPr>
          <w:lang w:val="sr-Latn-RS"/>
        </w:rPr>
        <w:t xml:space="preserve"> </w:t>
      </w:r>
      <w:r w:rsidR="007620BB" w:rsidRPr="007620BB">
        <w:rPr>
          <w:rFonts w:cs="Times New Roman"/>
          <w:sz w:val="20"/>
          <w:szCs w:val="20"/>
        </w:rPr>
        <w:t>European Qualifications Framework for lifelong learning</w:t>
      </w:r>
      <w:r w:rsidRPr="007620BB">
        <w:rPr>
          <w:rFonts w:cs="Times New Roman"/>
          <w:sz w:val="20"/>
          <w:szCs w:val="20"/>
        </w:rPr>
        <w:t xml:space="preserve">, доступно на </w:t>
      </w:r>
    </w:p>
  </w:footnote>
  <w:footnote w:id="3">
    <w:p w14:paraId="2E1056B2" w14:textId="77777777" w:rsidR="00511B43" w:rsidRDefault="00511B43" w:rsidP="007620BB">
      <w:pPr>
        <w:spacing w:line="240" w:lineRule="auto"/>
        <w:ind w:firstLine="0"/>
        <w:jc w:val="left"/>
        <w:rPr>
          <w:rFonts w:cs="Times New Roman"/>
          <w:sz w:val="20"/>
          <w:szCs w:val="20"/>
        </w:rPr>
      </w:pPr>
    </w:p>
    <w:p w14:paraId="1DF3FB01" w14:textId="03E229E6" w:rsidR="007620BB" w:rsidRPr="00511B43" w:rsidRDefault="00D76DF0" w:rsidP="007620BB">
      <w:pPr>
        <w:spacing w:line="240" w:lineRule="auto"/>
        <w:ind w:firstLine="0"/>
        <w:jc w:val="left"/>
        <w:rPr>
          <w:rFonts w:cs="Times New Roman"/>
          <w:sz w:val="20"/>
          <w:szCs w:val="20"/>
        </w:rPr>
      </w:pPr>
      <w:hyperlink r:id="rId2" w:history="1">
        <w:r w:rsidR="00511B43" w:rsidRPr="00A8230D">
          <w:rPr>
            <w:rStyle w:val="Hyperlink"/>
            <w:rFonts w:cs="Times New Roman"/>
            <w:sz w:val="20"/>
            <w:szCs w:val="20"/>
          </w:rPr>
          <w:t>https://eur-lex.europa.eu/LexUriServ/LexUriServ.do?uri=OJ:C:2008:111:0001:0007:EN:PDF</w:t>
        </w:r>
      </w:hyperlink>
      <w:r w:rsidR="007620BB" w:rsidRPr="007620BB">
        <w:rPr>
          <w:rFonts w:cs="Times New Roman"/>
          <w:sz w:val="20"/>
          <w:szCs w:val="20"/>
          <w:lang w:val="sr-Cyrl-RS"/>
        </w:rPr>
        <w:t xml:space="preserve"> </w:t>
      </w:r>
    </w:p>
    <w:p w14:paraId="13A27DE3" w14:textId="77777777" w:rsidR="00511B43" w:rsidRDefault="001908CF" w:rsidP="001908CF">
      <w:pPr>
        <w:pStyle w:val="FootnoteText"/>
        <w:rPr>
          <w:rFonts w:ascii="Times New Roman" w:hAnsi="Times New Roman" w:cs="Times New Roman"/>
          <w:lang w:val="sr-Latn-RS"/>
        </w:rPr>
      </w:pPr>
      <w:r w:rsidRPr="007620BB">
        <w:rPr>
          <w:rStyle w:val="FootnoteReference"/>
          <w:rFonts w:ascii="Times New Roman" w:hAnsi="Times New Roman" w:cs="Times New Roman"/>
        </w:rPr>
        <w:footnoteRef/>
      </w:r>
      <w:r w:rsidRPr="007620BB">
        <w:rPr>
          <w:rFonts w:ascii="Times New Roman" w:hAnsi="Times New Roman" w:cs="Times New Roman"/>
          <w:lang w:val="sr-Latn-RS"/>
        </w:rPr>
        <w:t xml:space="preserve"> </w:t>
      </w:r>
      <w:r w:rsidR="007620BB" w:rsidRPr="007620BB">
        <w:rPr>
          <w:rFonts w:ascii="Times New Roman" w:hAnsi="Times New Roman" w:cs="Times New Roman"/>
          <w:lang w:val="sr-Cyrl-RS"/>
        </w:rPr>
        <w:t>Нивои и дескриптори квалификација у НОКС-у</w:t>
      </w:r>
      <w:r w:rsidRPr="007620BB">
        <w:rPr>
          <w:rFonts w:ascii="Times New Roman" w:hAnsi="Times New Roman" w:cs="Times New Roman"/>
          <w:lang w:val="sr-Latn-RS"/>
        </w:rPr>
        <w:t xml:space="preserve">, </w:t>
      </w:r>
      <w:r w:rsidR="007620BB" w:rsidRPr="007620BB">
        <w:rPr>
          <w:rFonts w:ascii="Times New Roman" w:hAnsi="Times New Roman" w:cs="Times New Roman"/>
          <w:lang w:val="sr-Cyrl-RS"/>
        </w:rPr>
        <w:t>доступно на</w:t>
      </w:r>
      <w:r w:rsidRPr="007620BB">
        <w:rPr>
          <w:rFonts w:ascii="Times New Roman" w:hAnsi="Times New Roman" w:cs="Times New Roman"/>
          <w:lang w:val="sr-Latn-RS"/>
        </w:rPr>
        <w:t xml:space="preserve"> </w:t>
      </w:r>
    </w:p>
    <w:p w14:paraId="11D2E77A" w14:textId="1B7A6F00" w:rsidR="001908CF" w:rsidRPr="007620BB" w:rsidRDefault="00D76DF0" w:rsidP="001908CF">
      <w:pPr>
        <w:pStyle w:val="FootnoteText"/>
        <w:rPr>
          <w:rFonts w:ascii="Times New Roman" w:hAnsi="Times New Roman" w:cs="Times New Roman"/>
          <w:lang w:val="sr-Cyrl-RS"/>
        </w:rPr>
      </w:pPr>
      <w:hyperlink r:id="rId3" w:history="1">
        <w:r w:rsidR="00511B43" w:rsidRPr="00A8230D">
          <w:rPr>
            <w:rStyle w:val="Hyperlink"/>
            <w:rFonts w:ascii="Times New Roman" w:hAnsi="Times New Roman" w:cs="Times New Roman"/>
            <w:lang w:val="sr-Latn-RS"/>
          </w:rPr>
          <w:t>http://noks.mpn.gov.rs/sr_lat/uporedna-tabela-nivoa-kvalifikacija-i-vrsta-obrazovanja/</w:t>
        </w:r>
      </w:hyperlink>
      <w:r w:rsidR="007620BB" w:rsidRPr="007620BB">
        <w:rPr>
          <w:rFonts w:ascii="Times New Roman" w:hAnsi="Times New Roman" w:cs="Times New Roman"/>
          <w:lang w:val="sr-Cyrl-RS"/>
        </w:rPr>
        <w:t xml:space="preserve"> </w:t>
      </w:r>
    </w:p>
  </w:footnote>
  <w:footnote w:id="4">
    <w:p w14:paraId="02850705" w14:textId="77777777" w:rsidR="0049288F" w:rsidRPr="00511B43" w:rsidRDefault="0049288F" w:rsidP="00F2236A">
      <w:pPr>
        <w:pStyle w:val="FootnoteText"/>
        <w:rPr>
          <w:rFonts w:ascii="Times New Roman" w:hAnsi="Times New Roman" w:cs="Times New Roman"/>
          <w:lang w:val="sr-Latn-RS"/>
        </w:rPr>
      </w:pPr>
      <w:r w:rsidRPr="00511B43">
        <w:rPr>
          <w:rStyle w:val="FootnoteReference"/>
          <w:rFonts w:ascii="Times New Roman" w:hAnsi="Times New Roman" w:cs="Times New Roman"/>
          <w:sz w:val="20"/>
          <w:lang w:val="sr-Latn-RS"/>
        </w:rPr>
        <w:footnoteRef/>
      </w:r>
      <w:r w:rsidRPr="00511B43">
        <w:rPr>
          <w:rFonts w:ascii="Times New Roman" w:hAnsi="Times New Roman" w:cs="Times New Roman"/>
          <w:lang w:val="sr-Latn-RS"/>
        </w:rPr>
        <w:t xml:space="preserve"> Члан 21, став 2, тачка 9.</w:t>
      </w:r>
    </w:p>
  </w:footnote>
  <w:footnote w:id="5">
    <w:p w14:paraId="446AFB12" w14:textId="77777777" w:rsidR="0049288F" w:rsidRPr="00511B43" w:rsidRDefault="0049288F" w:rsidP="00F2236A">
      <w:pPr>
        <w:pStyle w:val="FootnoteText"/>
        <w:rPr>
          <w:rFonts w:ascii="Times New Roman" w:hAnsi="Times New Roman" w:cs="Times New Roman"/>
          <w:lang w:val="sr-Latn-RS"/>
        </w:rPr>
      </w:pPr>
      <w:r w:rsidRPr="00511B43">
        <w:rPr>
          <w:rStyle w:val="FootnoteReference"/>
          <w:rFonts w:ascii="Times New Roman" w:hAnsi="Times New Roman" w:cs="Times New Roman"/>
          <w:sz w:val="20"/>
          <w:lang w:val="sr-Latn-RS"/>
        </w:rPr>
        <w:footnoteRef/>
      </w:r>
      <w:r w:rsidRPr="00511B43">
        <w:rPr>
          <w:rFonts w:ascii="Times New Roman" w:hAnsi="Times New Roman" w:cs="Times New Roman"/>
          <w:lang w:val="sr-Latn-RS"/>
        </w:rPr>
        <w:t xml:space="preserve"> ЗОСОВ, члан 39 до 42.</w:t>
      </w:r>
    </w:p>
  </w:footnote>
  <w:footnote w:id="6">
    <w:p w14:paraId="572EBA7B" w14:textId="77777777" w:rsidR="0049288F" w:rsidRPr="000F5993" w:rsidRDefault="0049288F" w:rsidP="00F2236A">
      <w:pPr>
        <w:pStyle w:val="FootnoteText"/>
        <w:rPr>
          <w:lang w:val="sr-Latn-RS"/>
        </w:rPr>
      </w:pPr>
      <w:r w:rsidRPr="00511B43">
        <w:rPr>
          <w:rStyle w:val="FootnoteReference"/>
          <w:rFonts w:ascii="Times New Roman" w:hAnsi="Times New Roman" w:cs="Times New Roman"/>
          <w:sz w:val="20"/>
          <w:lang w:val="sr-Latn-RS"/>
        </w:rPr>
        <w:footnoteRef/>
      </w:r>
      <w:r w:rsidRPr="00511B43">
        <w:rPr>
          <w:rFonts w:ascii="Times New Roman" w:hAnsi="Times New Roman" w:cs="Times New Roman"/>
          <w:lang w:val="sr-Latn-RS"/>
        </w:rPr>
        <w:t xml:space="preserve"> Закон о НОКС, члан 15, став 1, тачка 16.</w:t>
      </w:r>
    </w:p>
  </w:footnote>
  <w:footnote w:id="7">
    <w:p w14:paraId="36B4E277" w14:textId="77777777" w:rsidR="0049288F" w:rsidRPr="00511B43" w:rsidRDefault="0049288F" w:rsidP="00F2236A">
      <w:pPr>
        <w:pStyle w:val="FootnoteText"/>
        <w:rPr>
          <w:rFonts w:ascii="Times New Roman" w:hAnsi="Times New Roman" w:cs="Times New Roman"/>
          <w:lang w:val="sr-Latn-RS"/>
        </w:rPr>
      </w:pPr>
      <w:r w:rsidRPr="00511B43">
        <w:rPr>
          <w:rStyle w:val="FootnoteReference"/>
          <w:rFonts w:ascii="Times New Roman" w:hAnsi="Times New Roman" w:cs="Times New Roman"/>
          <w:sz w:val="20"/>
          <w:lang w:val="sr-Latn-RS"/>
        </w:rPr>
        <w:footnoteRef/>
      </w:r>
      <w:r w:rsidRPr="00511B43">
        <w:rPr>
          <w:rFonts w:ascii="Times New Roman" w:hAnsi="Times New Roman" w:cs="Times New Roman"/>
          <w:lang w:val="sr-Latn-RS"/>
        </w:rPr>
        <w:t xml:space="preserve"> „Службени гласник РС“, бр. 44/14</w:t>
      </w:r>
    </w:p>
  </w:footnote>
  <w:footnote w:id="8">
    <w:p w14:paraId="5460CAA4" w14:textId="77777777" w:rsidR="0049288F" w:rsidRPr="00511B43" w:rsidRDefault="0049288F" w:rsidP="00F2236A">
      <w:pPr>
        <w:pStyle w:val="FootnoteText"/>
        <w:rPr>
          <w:rFonts w:ascii="Times New Roman" w:hAnsi="Times New Roman" w:cs="Times New Roman"/>
          <w:lang w:val="sr-Latn-RS"/>
        </w:rPr>
      </w:pPr>
      <w:r w:rsidRPr="00511B43">
        <w:rPr>
          <w:rStyle w:val="FootnoteReference"/>
          <w:rFonts w:ascii="Times New Roman" w:hAnsi="Times New Roman" w:cs="Times New Roman"/>
          <w:lang w:val="sr-Latn-RS"/>
        </w:rPr>
        <w:footnoteRef/>
      </w:r>
      <w:r w:rsidRPr="00511B43">
        <w:rPr>
          <w:rFonts w:ascii="Times New Roman" w:hAnsi="Times New Roman" w:cs="Times New Roman"/>
          <w:lang w:val="sr-Latn-RS"/>
        </w:rPr>
        <w:t xml:space="preserve"> Закон о привреним коморама, "Сл. гласник РС", бр. 112/2015</w:t>
      </w:r>
    </w:p>
  </w:footnote>
  <w:footnote w:id="9">
    <w:p w14:paraId="204AE67F" w14:textId="7BAE103E" w:rsidR="0049288F" w:rsidRPr="00511B43" w:rsidRDefault="0049288F" w:rsidP="00F2236A">
      <w:pPr>
        <w:pStyle w:val="FootnoteText"/>
        <w:rPr>
          <w:rFonts w:ascii="Times New Roman" w:hAnsi="Times New Roman" w:cs="Times New Roman"/>
          <w:lang w:val="sr-Cyrl-RS"/>
        </w:rPr>
      </w:pPr>
      <w:r w:rsidRPr="00511B43">
        <w:rPr>
          <w:rStyle w:val="FootnoteReference"/>
          <w:rFonts w:ascii="Times New Roman" w:hAnsi="Times New Roman" w:cs="Times New Roman"/>
          <w:lang w:val="sr-Cyrl-RS"/>
        </w:rPr>
        <w:footnoteRef/>
      </w:r>
      <w:r w:rsidRPr="00511B43">
        <w:rPr>
          <w:rFonts w:ascii="Times New Roman" w:hAnsi="Times New Roman" w:cs="Times New Roman"/>
          <w:lang w:val="sr-Cyrl-RS"/>
        </w:rPr>
        <w:t xml:space="preserve"> Законом је дефинисано да су чланови ПК</w:t>
      </w:r>
      <w:r w:rsidR="00511B43" w:rsidRPr="00511B43">
        <w:rPr>
          <w:rFonts w:ascii="Times New Roman" w:hAnsi="Times New Roman" w:cs="Times New Roman"/>
          <w:lang w:val="sr-Cyrl-RS"/>
        </w:rPr>
        <w:t>С</w:t>
      </w:r>
      <w:r w:rsidRPr="00511B43">
        <w:rPr>
          <w:rFonts w:ascii="Times New Roman" w:hAnsi="Times New Roman" w:cs="Times New Roman"/>
          <w:lang w:val="sr-Cyrl-RS"/>
        </w:rPr>
        <w:t xml:space="preserve"> сви привредни субјекти који обављају регистровану пословну делатност на територији Републике Србије. Чланство у ПК</w:t>
      </w:r>
      <w:r w:rsidR="00511B43">
        <w:rPr>
          <w:rFonts w:ascii="Times New Roman" w:hAnsi="Times New Roman" w:cs="Times New Roman"/>
          <w:lang w:val="sr-Cyrl-RS"/>
        </w:rPr>
        <w:t>С</w:t>
      </w:r>
      <w:r w:rsidRPr="00511B43">
        <w:rPr>
          <w:rFonts w:ascii="Times New Roman" w:hAnsi="Times New Roman" w:cs="Times New Roman"/>
          <w:lang w:val="sr-Cyrl-RS"/>
        </w:rPr>
        <w:t xml:space="preserve"> није добровољно због чега ПК</w:t>
      </w:r>
      <w:r w:rsidR="00511B43">
        <w:rPr>
          <w:rFonts w:ascii="Times New Roman" w:hAnsi="Times New Roman" w:cs="Times New Roman"/>
          <w:lang w:val="sr-Cyrl-RS"/>
        </w:rPr>
        <w:t>С</w:t>
      </w:r>
      <w:r w:rsidRPr="00511B43">
        <w:rPr>
          <w:rFonts w:ascii="Times New Roman" w:hAnsi="Times New Roman" w:cs="Times New Roman"/>
          <w:lang w:val="sr-Cyrl-RS"/>
        </w:rPr>
        <w:t xml:space="preserve"> не учествује у раду Социјално економског савета.</w:t>
      </w:r>
    </w:p>
  </w:footnote>
  <w:footnote w:id="10">
    <w:p w14:paraId="02594EEF" w14:textId="7F3A1636" w:rsidR="00581A4A" w:rsidRPr="00511B43" w:rsidRDefault="00581A4A">
      <w:pPr>
        <w:pStyle w:val="FootnoteText"/>
        <w:rPr>
          <w:rFonts w:ascii="Times New Roman" w:hAnsi="Times New Roman" w:cs="Times New Roman"/>
          <w:lang w:val="sr-Cyrl-RS"/>
        </w:rPr>
      </w:pPr>
      <w:r w:rsidRPr="00511B43">
        <w:rPr>
          <w:rStyle w:val="FootnoteReference"/>
          <w:rFonts w:ascii="Times New Roman" w:hAnsi="Times New Roman" w:cs="Times New Roman"/>
        </w:rPr>
        <w:footnoteRef/>
      </w:r>
      <w:r w:rsidRPr="00511B43">
        <w:rPr>
          <w:rFonts w:ascii="Times New Roman" w:hAnsi="Times New Roman" w:cs="Times New Roman"/>
          <w:lang w:val="sr-Cyrl-RS"/>
        </w:rPr>
        <w:t xml:space="preserve"> Уредба о</w:t>
      </w:r>
      <w:r w:rsidRPr="00511B43">
        <w:rPr>
          <w:rFonts w:ascii="Times New Roman" w:hAnsi="Times New Roman" w:cs="Times New Roman"/>
          <w:lang w:val="sr-Latn-RS"/>
        </w:rPr>
        <w:t xml:space="preserve"> </w:t>
      </w:r>
      <w:r w:rsidRPr="00511B43">
        <w:rPr>
          <w:rFonts w:ascii="Times New Roman" w:hAnsi="Times New Roman" w:cs="Times New Roman"/>
          <w:lang w:val="sr-Cyrl-RS"/>
        </w:rPr>
        <w:t>методологији</w:t>
      </w:r>
      <w:r w:rsidRPr="00511B43">
        <w:rPr>
          <w:rFonts w:ascii="Times New Roman" w:hAnsi="Times New Roman" w:cs="Times New Roman"/>
          <w:lang w:val="sr-Latn-RS"/>
        </w:rPr>
        <w:t xml:space="preserve"> </w:t>
      </w:r>
      <w:r w:rsidR="00511B43" w:rsidRPr="00511B43">
        <w:rPr>
          <w:rFonts w:ascii="Times New Roman" w:hAnsi="Times New Roman" w:cs="Times New Roman"/>
          <w:lang w:val="sr-Cyrl-RS"/>
        </w:rPr>
        <w:t>управљања</w:t>
      </w:r>
      <w:r w:rsidRPr="00511B43">
        <w:rPr>
          <w:rFonts w:ascii="Times New Roman" w:hAnsi="Times New Roman" w:cs="Times New Roman"/>
          <w:lang w:val="sr-Latn-RS"/>
        </w:rPr>
        <w:t xml:space="preserve"> </w:t>
      </w:r>
      <w:r w:rsidRPr="00511B43">
        <w:rPr>
          <w:rFonts w:ascii="Times New Roman" w:hAnsi="Times New Roman" w:cs="Times New Roman"/>
          <w:lang w:val="sr-Cyrl-RS"/>
        </w:rPr>
        <w:t>јавним</w:t>
      </w:r>
      <w:r w:rsidRPr="00511B43">
        <w:rPr>
          <w:rFonts w:ascii="Times New Roman" w:hAnsi="Times New Roman" w:cs="Times New Roman"/>
          <w:lang w:val="sr-Latn-RS"/>
        </w:rPr>
        <w:t xml:space="preserve"> </w:t>
      </w:r>
      <w:r w:rsidRPr="00511B43">
        <w:rPr>
          <w:rFonts w:ascii="Times New Roman" w:hAnsi="Times New Roman" w:cs="Times New Roman"/>
          <w:lang w:val="sr-Cyrl-RS"/>
        </w:rPr>
        <w:t>политикама</w:t>
      </w:r>
      <w:r w:rsidRPr="00511B43">
        <w:rPr>
          <w:rFonts w:ascii="Times New Roman" w:hAnsi="Times New Roman" w:cs="Times New Roman"/>
          <w:lang w:val="sr-Latn-RS"/>
        </w:rPr>
        <w:t xml:space="preserve">, </w:t>
      </w:r>
      <w:r w:rsidRPr="00511B43">
        <w:rPr>
          <w:rFonts w:ascii="Times New Roman" w:hAnsi="Times New Roman" w:cs="Times New Roman"/>
          <w:lang w:val="sr-Cyrl-RS"/>
        </w:rPr>
        <w:t>анализи</w:t>
      </w:r>
      <w:r w:rsidRPr="00511B43">
        <w:rPr>
          <w:rFonts w:ascii="Times New Roman" w:hAnsi="Times New Roman" w:cs="Times New Roman"/>
          <w:lang w:val="sr-Latn-RS"/>
        </w:rPr>
        <w:t xml:space="preserve"> </w:t>
      </w:r>
      <w:r w:rsidRPr="00511B43">
        <w:rPr>
          <w:rFonts w:ascii="Times New Roman" w:hAnsi="Times New Roman" w:cs="Times New Roman"/>
          <w:lang w:val="sr-Cyrl-RS"/>
        </w:rPr>
        <w:t>ефеката</w:t>
      </w:r>
      <w:r w:rsidRPr="00511B43">
        <w:rPr>
          <w:rFonts w:ascii="Times New Roman" w:hAnsi="Times New Roman" w:cs="Times New Roman"/>
          <w:lang w:val="sr-Latn-RS"/>
        </w:rPr>
        <w:t xml:space="preserve"> </w:t>
      </w:r>
      <w:r w:rsidRPr="00511B43">
        <w:rPr>
          <w:rFonts w:ascii="Times New Roman" w:hAnsi="Times New Roman" w:cs="Times New Roman"/>
          <w:lang w:val="sr-Cyrl-RS"/>
        </w:rPr>
        <w:t>јавних</w:t>
      </w:r>
      <w:r w:rsidRPr="00511B43">
        <w:rPr>
          <w:rFonts w:ascii="Times New Roman" w:hAnsi="Times New Roman" w:cs="Times New Roman"/>
          <w:lang w:val="sr-Latn-RS"/>
        </w:rPr>
        <w:t xml:space="preserve"> </w:t>
      </w:r>
      <w:r w:rsidRPr="00511B43">
        <w:rPr>
          <w:rFonts w:ascii="Times New Roman" w:hAnsi="Times New Roman" w:cs="Times New Roman"/>
          <w:lang w:val="sr-Cyrl-RS"/>
        </w:rPr>
        <w:t>политика</w:t>
      </w:r>
      <w:r w:rsidRPr="00511B43">
        <w:rPr>
          <w:rFonts w:ascii="Times New Roman" w:hAnsi="Times New Roman" w:cs="Times New Roman"/>
          <w:lang w:val="sr-Latn-RS"/>
        </w:rPr>
        <w:t xml:space="preserve"> </w:t>
      </w:r>
      <w:r w:rsidRPr="00511B43">
        <w:rPr>
          <w:rFonts w:ascii="Times New Roman" w:hAnsi="Times New Roman" w:cs="Times New Roman"/>
          <w:lang w:val="sr-Cyrl-RS"/>
        </w:rPr>
        <w:t>и</w:t>
      </w:r>
      <w:r w:rsidRPr="00511B43">
        <w:rPr>
          <w:rFonts w:ascii="Times New Roman" w:hAnsi="Times New Roman" w:cs="Times New Roman"/>
          <w:lang w:val="sr-Latn-RS"/>
        </w:rPr>
        <w:t xml:space="preserve"> </w:t>
      </w:r>
      <w:r w:rsidRPr="00511B43">
        <w:rPr>
          <w:rFonts w:ascii="Times New Roman" w:hAnsi="Times New Roman" w:cs="Times New Roman"/>
          <w:lang w:val="sr-Cyrl-RS"/>
        </w:rPr>
        <w:t>прописа</w:t>
      </w:r>
      <w:r w:rsidRPr="00511B43">
        <w:rPr>
          <w:rFonts w:ascii="Times New Roman" w:hAnsi="Times New Roman" w:cs="Times New Roman"/>
          <w:lang w:val="sr-Latn-RS"/>
        </w:rPr>
        <w:t xml:space="preserve"> </w:t>
      </w:r>
      <w:r w:rsidRPr="00511B43">
        <w:rPr>
          <w:rFonts w:ascii="Times New Roman" w:hAnsi="Times New Roman" w:cs="Times New Roman"/>
          <w:lang w:val="sr-Cyrl-RS"/>
        </w:rPr>
        <w:t>и</w:t>
      </w:r>
      <w:r w:rsidRPr="00511B43">
        <w:rPr>
          <w:rFonts w:ascii="Times New Roman" w:hAnsi="Times New Roman" w:cs="Times New Roman"/>
          <w:lang w:val="sr-Latn-RS"/>
        </w:rPr>
        <w:t xml:space="preserve"> </w:t>
      </w:r>
      <w:r w:rsidRPr="00511B43">
        <w:rPr>
          <w:rFonts w:ascii="Times New Roman" w:hAnsi="Times New Roman" w:cs="Times New Roman"/>
          <w:lang w:val="sr-Cyrl-RS"/>
        </w:rPr>
        <w:t>садржају</w:t>
      </w:r>
      <w:r w:rsidRPr="00511B43">
        <w:rPr>
          <w:rFonts w:ascii="Times New Roman" w:hAnsi="Times New Roman" w:cs="Times New Roman"/>
          <w:lang w:val="sr-Latn-RS"/>
        </w:rPr>
        <w:t xml:space="preserve"> </w:t>
      </w:r>
      <w:r w:rsidRPr="00511B43">
        <w:rPr>
          <w:rFonts w:ascii="Times New Roman" w:hAnsi="Times New Roman" w:cs="Times New Roman"/>
          <w:lang w:val="sr-Cyrl-RS"/>
        </w:rPr>
        <w:t>појединачних</w:t>
      </w:r>
      <w:r w:rsidRPr="00511B43">
        <w:rPr>
          <w:rFonts w:ascii="Times New Roman" w:hAnsi="Times New Roman" w:cs="Times New Roman"/>
          <w:lang w:val="sr-Latn-RS"/>
        </w:rPr>
        <w:t xml:space="preserve"> </w:t>
      </w:r>
      <w:r w:rsidRPr="00511B43">
        <w:rPr>
          <w:rFonts w:ascii="Times New Roman" w:hAnsi="Times New Roman" w:cs="Times New Roman"/>
          <w:lang w:val="sr-Cyrl-RS"/>
        </w:rPr>
        <w:t>докумената</w:t>
      </w:r>
      <w:r w:rsidRPr="00511B43">
        <w:rPr>
          <w:rFonts w:ascii="Times New Roman" w:hAnsi="Times New Roman" w:cs="Times New Roman"/>
          <w:lang w:val="sr-Latn-RS"/>
        </w:rPr>
        <w:t xml:space="preserve"> </w:t>
      </w:r>
      <w:r w:rsidRPr="00511B43">
        <w:rPr>
          <w:rFonts w:ascii="Times New Roman" w:hAnsi="Times New Roman" w:cs="Times New Roman"/>
          <w:lang w:val="sr-Cyrl-RS"/>
        </w:rPr>
        <w:t>јавних</w:t>
      </w:r>
      <w:r w:rsidRPr="00511B43">
        <w:rPr>
          <w:rFonts w:ascii="Times New Roman" w:hAnsi="Times New Roman" w:cs="Times New Roman"/>
          <w:lang w:val="sr-Latn-RS"/>
        </w:rPr>
        <w:t xml:space="preserve"> </w:t>
      </w:r>
      <w:r w:rsidRPr="00511B43">
        <w:rPr>
          <w:rFonts w:ascii="Times New Roman" w:hAnsi="Times New Roman" w:cs="Times New Roman"/>
          <w:lang w:val="sr-Cyrl-RS"/>
        </w:rPr>
        <w:t>политика, „Сл. Гласник РС“, бр. 8/2019-79</w:t>
      </w:r>
    </w:p>
  </w:footnote>
  <w:footnote w:id="11">
    <w:p w14:paraId="40C33185" w14:textId="77777777" w:rsidR="00511B43" w:rsidRDefault="00D112A7">
      <w:pPr>
        <w:pStyle w:val="FootnoteText"/>
        <w:rPr>
          <w:rFonts w:ascii="Times New Roman" w:hAnsi="Times New Roman" w:cs="Times New Roman"/>
          <w:szCs w:val="32"/>
          <w:lang w:val="sr-Cyrl-RS"/>
        </w:rPr>
      </w:pPr>
      <w:r w:rsidRPr="00511B43">
        <w:rPr>
          <w:rStyle w:val="FootnoteReference"/>
          <w:rFonts w:ascii="Times New Roman" w:hAnsi="Times New Roman" w:cs="Times New Roman"/>
        </w:rPr>
        <w:footnoteRef/>
      </w:r>
      <w:r w:rsidRPr="00511B43">
        <w:rPr>
          <w:rFonts w:ascii="Times New Roman" w:hAnsi="Times New Roman" w:cs="Times New Roman"/>
          <w:lang w:val="sr-Cyrl-RS"/>
        </w:rPr>
        <w:t xml:space="preserve"> </w:t>
      </w:r>
      <w:r w:rsidRPr="00511B43">
        <w:rPr>
          <w:rFonts w:ascii="Times New Roman" w:hAnsi="Times New Roman" w:cs="Times New Roman"/>
          <w:szCs w:val="32"/>
          <w:lang w:val="sr-Cyrl-RS"/>
        </w:rPr>
        <w:t xml:space="preserve">Приручник за анализу ефеката јавних политика и прописа, доступно на </w:t>
      </w:r>
    </w:p>
    <w:p w14:paraId="2DA79735" w14:textId="68713450" w:rsidR="00D112A7" w:rsidRPr="00D112A7" w:rsidRDefault="00D76DF0">
      <w:pPr>
        <w:pStyle w:val="FootnoteText"/>
        <w:rPr>
          <w:lang w:val="sr-Cyrl-RS"/>
        </w:rPr>
      </w:pPr>
      <w:hyperlink r:id="rId4" w:history="1">
        <w:r w:rsidR="00511B43" w:rsidRPr="00A8230D">
          <w:rPr>
            <w:rStyle w:val="Hyperlink"/>
            <w:rFonts w:ascii="Times New Roman" w:hAnsi="Times New Roman" w:cs="Times New Roman"/>
            <w:szCs w:val="32"/>
            <w:lang w:val="sr-Cyrl-RS"/>
          </w:rPr>
          <w:t>https://rsjp.gov.rs/wp-content/uploads/Update-0921-Prirucnik-za-analizu-efekata-javnih-politika-i-propisa-FINAL-FINAL-290720-Objavljeno.pdf</w:t>
        </w:r>
      </w:hyperlink>
      <w:r w:rsidR="00511B43">
        <w:rPr>
          <w:rFonts w:ascii="Times New Roman" w:hAnsi="Times New Roman" w:cs="Times New Roman"/>
          <w:szCs w:val="32"/>
          <w:lang w:val="sr-Cyrl-RS"/>
        </w:rPr>
        <w:t xml:space="preserve"> </w:t>
      </w:r>
    </w:p>
  </w:footnote>
  <w:footnote w:id="12">
    <w:p w14:paraId="37455D5D" w14:textId="60D3C117" w:rsidR="00270FEF" w:rsidRPr="00511B43" w:rsidRDefault="00270FEF">
      <w:pPr>
        <w:pStyle w:val="FootnoteText"/>
        <w:rPr>
          <w:rFonts w:ascii="Times New Roman" w:hAnsi="Times New Roman" w:cs="Times New Roman"/>
          <w:lang w:val="sr-Cyrl-RS"/>
        </w:rPr>
      </w:pPr>
      <w:r w:rsidRPr="00511B43">
        <w:rPr>
          <w:rStyle w:val="FootnoteReference"/>
          <w:rFonts w:ascii="Times New Roman" w:hAnsi="Times New Roman" w:cs="Times New Roman"/>
        </w:rPr>
        <w:footnoteRef/>
      </w:r>
      <w:r w:rsidRPr="00511B43">
        <w:rPr>
          <w:rFonts w:ascii="Times New Roman" w:hAnsi="Times New Roman" w:cs="Times New Roman"/>
          <w:lang w:val="sr-Cyrl-RS"/>
        </w:rPr>
        <w:t xml:space="preserve"> Закон о НОКС-у, „Сл. </w:t>
      </w:r>
      <w:r w:rsidR="00862724" w:rsidRPr="00511B43">
        <w:rPr>
          <w:rFonts w:ascii="Times New Roman" w:hAnsi="Times New Roman" w:cs="Times New Roman"/>
          <w:lang w:val="sr-Cyrl-RS"/>
        </w:rPr>
        <w:t>г</w:t>
      </w:r>
      <w:r w:rsidRPr="00511B43">
        <w:rPr>
          <w:rFonts w:ascii="Times New Roman" w:hAnsi="Times New Roman" w:cs="Times New Roman"/>
          <w:lang w:val="sr-Cyrl-RS"/>
        </w:rPr>
        <w:t>ласник</w:t>
      </w:r>
      <w:r w:rsidR="00862724" w:rsidRPr="00511B43">
        <w:rPr>
          <w:rFonts w:ascii="Times New Roman" w:hAnsi="Times New Roman" w:cs="Times New Roman"/>
          <w:lang w:val="sr-Cyrl-RS"/>
        </w:rPr>
        <w:t xml:space="preserve"> РС</w:t>
      </w:r>
      <w:r w:rsidRPr="00511B43">
        <w:rPr>
          <w:rFonts w:ascii="Times New Roman" w:hAnsi="Times New Roman" w:cs="Times New Roman"/>
          <w:lang w:val="sr-Cyrl-RS"/>
        </w:rPr>
        <w:t xml:space="preserve">“, </w:t>
      </w:r>
      <w:r w:rsidR="00862724" w:rsidRPr="00511B43">
        <w:rPr>
          <w:rFonts w:ascii="Times New Roman" w:hAnsi="Times New Roman" w:cs="Times New Roman"/>
          <w:lang w:val="sr-Cyrl-RS"/>
        </w:rPr>
        <w:t>бр.27/2018</w:t>
      </w:r>
    </w:p>
  </w:footnote>
  <w:footnote w:id="13">
    <w:p w14:paraId="6793305E" w14:textId="77777777" w:rsidR="00DA6790" w:rsidRPr="00511B43" w:rsidRDefault="00DA6790" w:rsidP="00DA6790">
      <w:pPr>
        <w:pStyle w:val="FootnoteText"/>
        <w:rPr>
          <w:rFonts w:ascii="Times New Roman" w:hAnsi="Times New Roman" w:cs="Times New Roman"/>
          <w:lang w:val="sr-Latn-RS"/>
        </w:rPr>
      </w:pPr>
      <w:r w:rsidRPr="00511B43">
        <w:rPr>
          <w:rStyle w:val="FootnoteReference"/>
          <w:rFonts w:ascii="Times New Roman" w:hAnsi="Times New Roman" w:cs="Times New Roman"/>
        </w:rPr>
        <w:footnoteRef/>
      </w:r>
      <w:r w:rsidRPr="00511B43">
        <w:rPr>
          <w:rFonts w:ascii="Times New Roman" w:hAnsi="Times New Roman" w:cs="Times New Roman"/>
          <w:lang w:val="sr-Latn-RS"/>
        </w:rPr>
        <w:t xml:space="preserve"> </w:t>
      </w:r>
      <w:r w:rsidRPr="00511B43">
        <w:rPr>
          <w:rFonts w:ascii="Times New Roman" w:hAnsi="Times New Roman" w:cs="Times New Roman"/>
          <w:szCs w:val="32"/>
          <w:lang w:val="sr-Cyrl-RS"/>
        </w:rPr>
        <w:t>Уредба о оснивању Канцеларије за дуално образовање и Национални оквир квалификација, „Сл.Гласник РС“, бр. 124/2022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8208" w14:textId="1ACA33B9" w:rsidR="007620BB" w:rsidRPr="007620BB" w:rsidRDefault="007620BB" w:rsidP="007620BB">
    <w:pPr>
      <w:pStyle w:val="Header"/>
      <w:ind w:firstLine="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840B" w14:textId="77777777" w:rsidR="007620BB" w:rsidRPr="007620BB" w:rsidRDefault="007620BB" w:rsidP="007620BB">
    <w:pPr>
      <w:pStyle w:val="Header"/>
      <w:ind w:firstLine="0"/>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14:anchorId="23138D50" wp14:editId="4020FE72">
              <wp:simplePos x="0" y="0"/>
              <wp:positionH relativeFrom="column">
                <wp:posOffset>-5080</wp:posOffset>
              </wp:positionH>
              <wp:positionV relativeFrom="paragraph">
                <wp:posOffset>180975</wp:posOffset>
              </wp:positionV>
              <wp:extent cx="5791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47057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4.25pt" to="45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" strokecolor="black [3213]" strokeweight=".5pt">
              <v:stroke joinstyle="miter"/>
            </v:line>
          </w:pict>
        </mc:Fallback>
      </mc:AlternateContent>
    </w:r>
    <w:r w:rsidRPr="007620BB">
      <w:rPr>
        <w:rStyle w:val="italik"/>
        <w:sz w:val="22"/>
        <w:szCs w:val="22"/>
        <w:lang w:val="sr-Cyrl-RS"/>
      </w:rPr>
      <w:t>Методолошки оквир евалуације система Националног оквира квалификација у Србији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15E"/>
    <w:multiLevelType w:val="multilevel"/>
    <w:tmpl w:val="35C2DA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97567"/>
    <w:multiLevelType w:val="hybridMultilevel"/>
    <w:tmpl w:val="77C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0F8"/>
    <w:multiLevelType w:val="hybridMultilevel"/>
    <w:tmpl w:val="C8E0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969A9"/>
    <w:multiLevelType w:val="hybridMultilevel"/>
    <w:tmpl w:val="BEA0B85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D62D9"/>
    <w:multiLevelType w:val="hybridMultilevel"/>
    <w:tmpl w:val="8F5C20B4"/>
    <w:lvl w:ilvl="0" w:tplc="1402CD98">
      <w:start w:val="1"/>
      <w:numFmt w:val="decimal"/>
      <w:lvlText w:val="%1."/>
      <w:lvlJc w:val="left"/>
      <w:pPr>
        <w:ind w:left="720" w:hanging="360"/>
      </w:pPr>
      <w:rPr>
        <w:lang w:val="sr-Cyrl-R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05EDD"/>
    <w:multiLevelType w:val="hybridMultilevel"/>
    <w:tmpl w:val="FC2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903DE"/>
    <w:multiLevelType w:val="multilevel"/>
    <w:tmpl w:val="FBEE7F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8A2736"/>
    <w:multiLevelType w:val="hybridMultilevel"/>
    <w:tmpl w:val="14A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B36F3"/>
    <w:multiLevelType w:val="multilevel"/>
    <w:tmpl w:val="B7E8AC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32B83"/>
    <w:multiLevelType w:val="hybridMultilevel"/>
    <w:tmpl w:val="03702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935CF"/>
    <w:multiLevelType w:val="hybridMultilevel"/>
    <w:tmpl w:val="0652B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CF4806"/>
    <w:multiLevelType w:val="multilevel"/>
    <w:tmpl w:val="AFAA8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AD4EB4"/>
    <w:multiLevelType w:val="multilevel"/>
    <w:tmpl w:val="CE948B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E6FE2"/>
    <w:multiLevelType w:val="hybridMultilevel"/>
    <w:tmpl w:val="DFD8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B1522"/>
    <w:multiLevelType w:val="hybridMultilevel"/>
    <w:tmpl w:val="D53C1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EF7242"/>
    <w:multiLevelType w:val="hybridMultilevel"/>
    <w:tmpl w:val="47B2C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FA532C"/>
    <w:multiLevelType w:val="hybridMultilevel"/>
    <w:tmpl w:val="2B248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64138"/>
    <w:multiLevelType w:val="hybridMultilevel"/>
    <w:tmpl w:val="3CCA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A5122"/>
    <w:multiLevelType w:val="hybridMultilevel"/>
    <w:tmpl w:val="658642C4"/>
    <w:lvl w:ilvl="0" w:tplc="A3D6D2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F683E"/>
    <w:multiLevelType w:val="hybridMultilevel"/>
    <w:tmpl w:val="A492E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A2346B"/>
    <w:multiLevelType w:val="hybridMultilevel"/>
    <w:tmpl w:val="762C125E"/>
    <w:lvl w:ilvl="0" w:tplc="04090001">
      <w:start w:val="1"/>
      <w:numFmt w:val="bullet"/>
      <w:lvlText w:val=""/>
      <w:lvlJc w:val="left"/>
      <w:pPr>
        <w:ind w:left="720" w:hanging="360"/>
      </w:pPr>
      <w:rPr>
        <w:rFonts w:ascii="Symbol" w:hAnsi="Symbol" w:hint="default"/>
      </w:rPr>
    </w:lvl>
    <w:lvl w:ilvl="1" w:tplc="DC70408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12C4D"/>
    <w:multiLevelType w:val="hybridMultilevel"/>
    <w:tmpl w:val="98BC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0054B"/>
    <w:multiLevelType w:val="hybridMultilevel"/>
    <w:tmpl w:val="9D6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30959"/>
    <w:multiLevelType w:val="hybridMultilevel"/>
    <w:tmpl w:val="969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46250"/>
    <w:multiLevelType w:val="multilevel"/>
    <w:tmpl w:val="35C2DA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891B0D"/>
    <w:multiLevelType w:val="hybridMultilevel"/>
    <w:tmpl w:val="009A8D10"/>
    <w:lvl w:ilvl="0" w:tplc="B5FE803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96CBA"/>
    <w:multiLevelType w:val="multilevel"/>
    <w:tmpl w:val="D436D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7577F2"/>
    <w:multiLevelType w:val="hybridMultilevel"/>
    <w:tmpl w:val="2E74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170CB"/>
    <w:multiLevelType w:val="hybridMultilevel"/>
    <w:tmpl w:val="F4EA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
  </w:num>
  <w:num w:numId="4">
    <w:abstractNumId w:val="5"/>
  </w:num>
  <w:num w:numId="5">
    <w:abstractNumId w:val="1"/>
  </w:num>
  <w:num w:numId="6">
    <w:abstractNumId w:val="26"/>
  </w:num>
  <w:num w:numId="7">
    <w:abstractNumId w:val="11"/>
  </w:num>
  <w:num w:numId="8">
    <w:abstractNumId w:val="0"/>
  </w:num>
  <w:num w:numId="9">
    <w:abstractNumId w:val="7"/>
  </w:num>
  <w:num w:numId="10">
    <w:abstractNumId w:val="8"/>
  </w:num>
  <w:num w:numId="11">
    <w:abstractNumId w:val="9"/>
  </w:num>
  <w:num w:numId="12">
    <w:abstractNumId w:val="20"/>
  </w:num>
  <w:num w:numId="13">
    <w:abstractNumId w:val="21"/>
  </w:num>
  <w:num w:numId="14">
    <w:abstractNumId w:val="27"/>
  </w:num>
  <w:num w:numId="15">
    <w:abstractNumId w:val="22"/>
  </w:num>
  <w:num w:numId="16">
    <w:abstractNumId w:val="17"/>
  </w:num>
  <w:num w:numId="17">
    <w:abstractNumId w:val="4"/>
  </w:num>
  <w:num w:numId="18">
    <w:abstractNumId w:val="25"/>
  </w:num>
  <w:num w:numId="19">
    <w:abstractNumId w:val="13"/>
  </w:num>
  <w:num w:numId="20">
    <w:abstractNumId w:val="18"/>
  </w:num>
  <w:num w:numId="21">
    <w:abstractNumId w:val="3"/>
  </w:num>
  <w:num w:numId="22">
    <w:abstractNumId w:val="16"/>
  </w:num>
  <w:num w:numId="23">
    <w:abstractNumId w:val="10"/>
  </w:num>
  <w:num w:numId="24">
    <w:abstractNumId w:val="19"/>
  </w:num>
  <w:num w:numId="25">
    <w:abstractNumId w:val="15"/>
  </w:num>
  <w:num w:numId="26">
    <w:abstractNumId w:val="23"/>
  </w:num>
  <w:num w:numId="27">
    <w:abstractNumId w:val="24"/>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B8"/>
    <w:rsid w:val="00017B73"/>
    <w:rsid w:val="0003273A"/>
    <w:rsid w:val="00036C07"/>
    <w:rsid w:val="00041431"/>
    <w:rsid w:val="00044C1C"/>
    <w:rsid w:val="000460F2"/>
    <w:rsid w:val="000470BC"/>
    <w:rsid w:val="000501D4"/>
    <w:rsid w:val="000548C8"/>
    <w:rsid w:val="000548DC"/>
    <w:rsid w:val="00060B2B"/>
    <w:rsid w:val="0006387C"/>
    <w:rsid w:val="000A0C5B"/>
    <w:rsid w:val="000D3C7D"/>
    <w:rsid w:val="000D6248"/>
    <w:rsid w:val="000E6DBF"/>
    <w:rsid w:val="000F22E5"/>
    <w:rsid w:val="00121533"/>
    <w:rsid w:val="001304B9"/>
    <w:rsid w:val="00133E5C"/>
    <w:rsid w:val="00143587"/>
    <w:rsid w:val="00150B53"/>
    <w:rsid w:val="00154BFA"/>
    <w:rsid w:val="001677F6"/>
    <w:rsid w:val="00172E99"/>
    <w:rsid w:val="00182CD5"/>
    <w:rsid w:val="00185675"/>
    <w:rsid w:val="001908CF"/>
    <w:rsid w:val="001915C5"/>
    <w:rsid w:val="00196C58"/>
    <w:rsid w:val="001A0F6F"/>
    <w:rsid w:val="001B401E"/>
    <w:rsid w:val="001B5AA8"/>
    <w:rsid w:val="001C6933"/>
    <w:rsid w:val="001C77B2"/>
    <w:rsid w:val="001E6D41"/>
    <w:rsid w:val="00203FAD"/>
    <w:rsid w:val="00206B5F"/>
    <w:rsid w:val="00207595"/>
    <w:rsid w:val="0021364C"/>
    <w:rsid w:val="0022428F"/>
    <w:rsid w:val="00225956"/>
    <w:rsid w:val="00231503"/>
    <w:rsid w:val="0024578D"/>
    <w:rsid w:val="00255FDB"/>
    <w:rsid w:val="00266049"/>
    <w:rsid w:val="00270FEF"/>
    <w:rsid w:val="00275FF6"/>
    <w:rsid w:val="002761A0"/>
    <w:rsid w:val="0028415C"/>
    <w:rsid w:val="00296A5D"/>
    <w:rsid w:val="002A4270"/>
    <w:rsid w:val="002A5E57"/>
    <w:rsid w:val="002C2E3B"/>
    <w:rsid w:val="002C37C4"/>
    <w:rsid w:val="002D37E2"/>
    <w:rsid w:val="002E1F9F"/>
    <w:rsid w:val="002F4521"/>
    <w:rsid w:val="002F7001"/>
    <w:rsid w:val="0030332E"/>
    <w:rsid w:val="00314219"/>
    <w:rsid w:val="0031597C"/>
    <w:rsid w:val="00335843"/>
    <w:rsid w:val="00340926"/>
    <w:rsid w:val="00344003"/>
    <w:rsid w:val="00362750"/>
    <w:rsid w:val="003630BB"/>
    <w:rsid w:val="00366125"/>
    <w:rsid w:val="003A7168"/>
    <w:rsid w:val="003D4FAC"/>
    <w:rsid w:val="003E0661"/>
    <w:rsid w:val="003F0AA6"/>
    <w:rsid w:val="003F648E"/>
    <w:rsid w:val="00402282"/>
    <w:rsid w:val="00411344"/>
    <w:rsid w:val="00423BE6"/>
    <w:rsid w:val="00424DB5"/>
    <w:rsid w:val="0044250A"/>
    <w:rsid w:val="00443836"/>
    <w:rsid w:val="00444AF7"/>
    <w:rsid w:val="00450DD6"/>
    <w:rsid w:val="004510E0"/>
    <w:rsid w:val="004607F5"/>
    <w:rsid w:val="0046219C"/>
    <w:rsid w:val="00471074"/>
    <w:rsid w:val="004906C6"/>
    <w:rsid w:val="004911FC"/>
    <w:rsid w:val="0049288F"/>
    <w:rsid w:val="004A7C71"/>
    <w:rsid w:val="004D2222"/>
    <w:rsid w:val="004D59D1"/>
    <w:rsid w:val="004D7EA5"/>
    <w:rsid w:val="004E597A"/>
    <w:rsid w:val="004F43A9"/>
    <w:rsid w:val="00511B43"/>
    <w:rsid w:val="005126DC"/>
    <w:rsid w:val="00524188"/>
    <w:rsid w:val="00525CC4"/>
    <w:rsid w:val="00541FED"/>
    <w:rsid w:val="00545EB8"/>
    <w:rsid w:val="00581A4A"/>
    <w:rsid w:val="005C1F48"/>
    <w:rsid w:val="005D5C02"/>
    <w:rsid w:val="005D6358"/>
    <w:rsid w:val="005D6F36"/>
    <w:rsid w:val="005E1097"/>
    <w:rsid w:val="005E37B7"/>
    <w:rsid w:val="005F0DF4"/>
    <w:rsid w:val="005F62A7"/>
    <w:rsid w:val="006320D2"/>
    <w:rsid w:val="00651937"/>
    <w:rsid w:val="00656304"/>
    <w:rsid w:val="00663155"/>
    <w:rsid w:val="006638A4"/>
    <w:rsid w:val="00676680"/>
    <w:rsid w:val="0068379E"/>
    <w:rsid w:val="00684D60"/>
    <w:rsid w:val="006A76F0"/>
    <w:rsid w:val="006C106B"/>
    <w:rsid w:val="006D798D"/>
    <w:rsid w:val="006F21E8"/>
    <w:rsid w:val="00702C2D"/>
    <w:rsid w:val="00710602"/>
    <w:rsid w:val="007119FB"/>
    <w:rsid w:val="00723313"/>
    <w:rsid w:val="00725213"/>
    <w:rsid w:val="00744C8E"/>
    <w:rsid w:val="00746E82"/>
    <w:rsid w:val="00750445"/>
    <w:rsid w:val="00752535"/>
    <w:rsid w:val="00755D3A"/>
    <w:rsid w:val="007620BB"/>
    <w:rsid w:val="007645CC"/>
    <w:rsid w:val="00776739"/>
    <w:rsid w:val="007827DD"/>
    <w:rsid w:val="00792A2F"/>
    <w:rsid w:val="00794160"/>
    <w:rsid w:val="00795B3E"/>
    <w:rsid w:val="007B591D"/>
    <w:rsid w:val="007C0213"/>
    <w:rsid w:val="007C2473"/>
    <w:rsid w:val="007C4A07"/>
    <w:rsid w:val="007D0684"/>
    <w:rsid w:val="007D5FF7"/>
    <w:rsid w:val="007D7F94"/>
    <w:rsid w:val="007E3FCB"/>
    <w:rsid w:val="007E74EF"/>
    <w:rsid w:val="007F2985"/>
    <w:rsid w:val="00807AF2"/>
    <w:rsid w:val="00812DAF"/>
    <w:rsid w:val="008169B4"/>
    <w:rsid w:val="0084075F"/>
    <w:rsid w:val="00844AF0"/>
    <w:rsid w:val="008607A8"/>
    <w:rsid w:val="00862724"/>
    <w:rsid w:val="008767A5"/>
    <w:rsid w:val="008819E5"/>
    <w:rsid w:val="008832B8"/>
    <w:rsid w:val="00884CF0"/>
    <w:rsid w:val="008857A5"/>
    <w:rsid w:val="00887C4A"/>
    <w:rsid w:val="008A1735"/>
    <w:rsid w:val="008C3A02"/>
    <w:rsid w:val="008C42CD"/>
    <w:rsid w:val="008C7DA7"/>
    <w:rsid w:val="008E32B1"/>
    <w:rsid w:val="008E454E"/>
    <w:rsid w:val="008E6037"/>
    <w:rsid w:val="008F1C78"/>
    <w:rsid w:val="00902E2F"/>
    <w:rsid w:val="00914067"/>
    <w:rsid w:val="00922575"/>
    <w:rsid w:val="00942043"/>
    <w:rsid w:val="009453F1"/>
    <w:rsid w:val="009468CF"/>
    <w:rsid w:val="00946A8D"/>
    <w:rsid w:val="00951226"/>
    <w:rsid w:val="00962B76"/>
    <w:rsid w:val="00966D33"/>
    <w:rsid w:val="009A71A9"/>
    <w:rsid w:val="009B0B61"/>
    <w:rsid w:val="009B2CE9"/>
    <w:rsid w:val="009C1F2E"/>
    <w:rsid w:val="009C346C"/>
    <w:rsid w:val="009C3C5A"/>
    <w:rsid w:val="009D21AC"/>
    <w:rsid w:val="009E33E4"/>
    <w:rsid w:val="009E398D"/>
    <w:rsid w:val="009E42DE"/>
    <w:rsid w:val="009F2D14"/>
    <w:rsid w:val="00A00E63"/>
    <w:rsid w:val="00A03758"/>
    <w:rsid w:val="00A0401E"/>
    <w:rsid w:val="00A14224"/>
    <w:rsid w:val="00A16774"/>
    <w:rsid w:val="00A30935"/>
    <w:rsid w:val="00A31DB6"/>
    <w:rsid w:val="00A4322D"/>
    <w:rsid w:val="00A5693A"/>
    <w:rsid w:val="00A60C16"/>
    <w:rsid w:val="00A731CB"/>
    <w:rsid w:val="00A75EC1"/>
    <w:rsid w:val="00A8310D"/>
    <w:rsid w:val="00A83CD0"/>
    <w:rsid w:val="00A9082B"/>
    <w:rsid w:val="00A912FE"/>
    <w:rsid w:val="00AA0366"/>
    <w:rsid w:val="00AA692C"/>
    <w:rsid w:val="00AA6F46"/>
    <w:rsid w:val="00AB24DC"/>
    <w:rsid w:val="00AB5B99"/>
    <w:rsid w:val="00AC4DF6"/>
    <w:rsid w:val="00AC63DE"/>
    <w:rsid w:val="00AD01F0"/>
    <w:rsid w:val="00AE32FF"/>
    <w:rsid w:val="00B002CE"/>
    <w:rsid w:val="00B15ABE"/>
    <w:rsid w:val="00B15D71"/>
    <w:rsid w:val="00B348B3"/>
    <w:rsid w:val="00B42179"/>
    <w:rsid w:val="00B472D4"/>
    <w:rsid w:val="00B51357"/>
    <w:rsid w:val="00B60946"/>
    <w:rsid w:val="00B60C7F"/>
    <w:rsid w:val="00B60FE8"/>
    <w:rsid w:val="00B7701B"/>
    <w:rsid w:val="00B839F5"/>
    <w:rsid w:val="00BA37B1"/>
    <w:rsid w:val="00BC47A0"/>
    <w:rsid w:val="00BC4F37"/>
    <w:rsid w:val="00BE3F4B"/>
    <w:rsid w:val="00BE6B26"/>
    <w:rsid w:val="00BF20B8"/>
    <w:rsid w:val="00C0513B"/>
    <w:rsid w:val="00C058CF"/>
    <w:rsid w:val="00C102AF"/>
    <w:rsid w:val="00C1177D"/>
    <w:rsid w:val="00C123CB"/>
    <w:rsid w:val="00C27809"/>
    <w:rsid w:val="00C32806"/>
    <w:rsid w:val="00C36C2F"/>
    <w:rsid w:val="00C42565"/>
    <w:rsid w:val="00C46621"/>
    <w:rsid w:val="00C47196"/>
    <w:rsid w:val="00C47C44"/>
    <w:rsid w:val="00C51724"/>
    <w:rsid w:val="00C5206D"/>
    <w:rsid w:val="00C6505A"/>
    <w:rsid w:val="00C6598F"/>
    <w:rsid w:val="00C65DD7"/>
    <w:rsid w:val="00C7264D"/>
    <w:rsid w:val="00C827E7"/>
    <w:rsid w:val="00CA305C"/>
    <w:rsid w:val="00CC1B8C"/>
    <w:rsid w:val="00CC3C03"/>
    <w:rsid w:val="00CC6A61"/>
    <w:rsid w:val="00CD4370"/>
    <w:rsid w:val="00CE30CE"/>
    <w:rsid w:val="00D112A7"/>
    <w:rsid w:val="00D209B7"/>
    <w:rsid w:val="00D52E84"/>
    <w:rsid w:val="00D705C0"/>
    <w:rsid w:val="00D71DF7"/>
    <w:rsid w:val="00D72BAA"/>
    <w:rsid w:val="00D76DF0"/>
    <w:rsid w:val="00D925D8"/>
    <w:rsid w:val="00D935A8"/>
    <w:rsid w:val="00D95F61"/>
    <w:rsid w:val="00DA6790"/>
    <w:rsid w:val="00DB205B"/>
    <w:rsid w:val="00DD2E80"/>
    <w:rsid w:val="00DE148B"/>
    <w:rsid w:val="00DF3BDC"/>
    <w:rsid w:val="00DF4FBD"/>
    <w:rsid w:val="00E03637"/>
    <w:rsid w:val="00E15DEB"/>
    <w:rsid w:val="00E378CE"/>
    <w:rsid w:val="00E44BA4"/>
    <w:rsid w:val="00E50435"/>
    <w:rsid w:val="00E50687"/>
    <w:rsid w:val="00E51835"/>
    <w:rsid w:val="00E67EAE"/>
    <w:rsid w:val="00E820CE"/>
    <w:rsid w:val="00E8477C"/>
    <w:rsid w:val="00E85399"/>
    <w:rsid w:val="00E85CD9"/>
    <w:rsid w:val="00E871E7"/>
    <w:rsid w:val="00E9756B"/>
    <w:rsid w:val="00EA63D0"/>
    <w:rsid w:val="00EB34B0"/>
    <w:rsid w:val="00EC42E8"/>
    <w:rsid w:val="00ED1232"/>
    <w:rsid w:val="00ED4C2E"/>
    <w:rsid w:val="00ED5D52"/>
    <w:rsid w:val="00EF4BD1"/>
    <w:rsid w:val="00F147F8"/>
    <w:rsid w:val="00F1481F"/>
    <w:rsid w:val="00F17333"/>
    <w:rsid w:val="00F17B7A"/>
    <w:rsid w:val="00F31296"/>
    <w:rsid w:val="00F42720"/>
    <w:rsid w:val="00F466EB"/>
    <w:rsid w:val="00F476AD"/>
    <w:rsid w:val="00F55829"/>
    <w:rsid w:val="00F711AE"/>
    <w:rsid w:val="00F72D28"/>
    <w:rsid w:val="00F82694"/>
    <w:rsid w:val="00F835FB"/>
    <w:rsid w:val="00F83FEC"/>
    <w:rsid w:val="00FA0EDF"/>
    <w:rsid w:val="00FB359A"/>
    <w:rsid w:val="00FC0799"/>
    <w:rsid w:val="00FC6172"/>
    <w:rsid w:val="00FE1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694D"/>
  <w15:docId w15:val="{E05C22AA-5992-4512-AB41-65FBBD9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32"/>
        <w:lang w:val="en-US" w:eastAsia="en-US" w:bidi="ar-SA"/>
      </w:rPr>
    </w:rPrDefault>
    <w:pPrDefault>
      <w:pPr>
        <w:ind w:firstLine="851"/>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3"/>
    <w:pPr>
      <w:spacing w:line="567" w:lineRule="exact"/>
    </w:pPr>
  </w:style>
  <w:style w:type="paragraph" w:styleId="Heading1">
    <w:name w:val="heading 1"/>
    <w:basedOn w:val="Normal"/>
    <w:next w:val="Normal"/>
    <w:link w:val="Heading1Char"/>
    <w:uiPriority w:val="9"/>
    <w:qFormat/>
    <w:rsid w:val="002E1F9F"/>
    <w:pPr>
      <w:keepNext/>
      <w:keepLines/>
      <w:spacing w:before="240" w:after="240" w:line="360" w:lineRule="auto"/>
      <w:ind w:firstLine="0"/>
      <w:jc w:val="left"/>
      <w:outlineLvl w:val="0"/>
    </w:pPr>
    <w:rPr>
      <w:rFonts w:eastAsiaTheme="majorEastAsia"/>
      <w:b/>
      <w:bCs/>
      <w:sz w:val="32"/>
      <w:szCs w:val="36"/>
    </w:rPr>
  </w:style>
  <w:style w:type="paragraph" w:styleId="Heading2">
    <w:name w:val="heading 2"/>
    <w:basedOn w:val="Normal"/>
    <w:next w:val="Normal"/>
    <w:link w:val="Heading2Char"/>
    <w:uiPriority w:val="9"/>
    <w:unhideWhenUsed/>
    <w:qFormat/>
    <w:rsid w:val="002E1F9F"/>
    <w:pPr>
      <w:keepNext/>
      <w:keepLines/>
      <w:spacing w:before="120" w:after="120" w:line="360" w:lineRule="auto"/>
      <w:ind w:firstLine="720"/>
      <w:jc w:val="left"/>
      <w:outlineLvl w:val="1"/>
    </w:pPr>
    <w:rPr>
      <w:rFonts w:eastAsiaTheme="majorEastAsia"/>
      <w:b/>
      <w:bCs/>
      <w:sz w:val="28"/>
    </w:rPr>
  </w:style>
  <w:style w:type="paragraph" w:styleId="Heading3">
    <w:name w:val="heading 3"/>
    <w:basedOn w:val="Normal"/>
    <w:next w:val="Normal"/>
    <w:link w:val="Heading3Char"/>
    <w:uiPriority w:val="9"/>
    <w:unhideWhenUsed/>
    <w:qFormat/>
    <w:rsid w:val="00884CF0"/>
    <w:pPr>
      <w:keepNext/>
      <w:keepLines/>
      <w:spacing w:before="120" w:after="120" w:line="360" w:lineRule="auto"/>
      <w:outlineLvl w:val="2"/>
    </w:pPr>
    <w:rPr>
      <w:rFonts w:eastAsiaTheme="majorEastAsia"/>
      <w:b/>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F9F"/>
    <w:rPr>
      <w:rFonts w:eastAsiaTheme="majorEastAsia"/>
      <w:b/>
      <w:bCs/>
      <w:sz w:val="32"/>
      <w:szCs w:val="36"/>
    </w:rPr>
  </w:style>
  <w:style w:type="character" w:customStyle="1" w:styleId="Heading2Char">
    <w:name w:val="Heading 2 Char"/>
    <w:basedOn w:val="DefaultParagraphFont"/>
    <w:link w:val="Heading2"/>
    <w:uiPriority w:val="9"/>
    <w:rsid w:val="002E1F9F"/>
    <w:rPr>
      <w:rFonts w:eastAsiaTheme="majorEastAsia"/>
      <w:b/>
      <w:bCs/>
      <w:sz w:val="28"/>
    </w:rPr>
  </w:style>
  <w:style w:type="character" w:customStyle="1" w:styleId="Heading3Char">
    <w:name w:val="Heading 3 Char"/>
    <w:basedOn w:val="DefaultParagraphFont"/>
    <w:link w:val="Heading3"/>
    <w:uiPriority w:val="9"/>
    <w:rsid w:val="00884CF0"/>
    <w:rPr>
      <w:rFonts w:eastAsiaTheme="majorEastAsia"/>
      <w:b/>
      <w:bCs/>
      <w:i/>
      <w:sz w:val="26"/>
    </w:rPr>
  </w:style>
  <w:style w:type="paragraph" w:styleId="NoSpacing">
    <w:name w:val="No Spacing"/>
    <w:uiPriority w:val="1"/>
    <w:qFormat/>
    <w:rsid w:val="00725213"/>
    <w:pPr>
      <w:ind w:firstLine="0"/>
    </w:pPr>
  </w:style>
  <w:style w:type="paragraph" w:customStyle="1" w:styleId="basic-paragraph">
    <w:name w:val="basic-paragraph"/>
    <w:basedOn w:val="Normal"/>
    <w:rsid w:val="008832B8"/>
    <w:pPr>
      <w:spacing w:before="100" w:beforeAutospacing="1" w:after="100" w:afterAutospacing="1" w:line="240" w:lineRule="auto"/>
      <w:ind w:firstLine="0"/>
      <w:jc w:val="left"/>
    </w:pPr>
    <w:rPr>
      <w:rFonts w:eastAsia="Times New Roman" w:cs="Times New Roman"/>
      <w:szCs w:val="24"/>
    </w:rPr>
  </w:style>
  <w:style w:type="character" w:customStyle="1" w:styleId="italik">
    <w:name w:val="italik"/>
    <w:basedOn w:val="DefaultParagraphFont"/>
    <w:rsid w:val="008832B8"/>
  </w:style>
  <w:style w:type="paragraph" w:styleId="FootnoteText">
    <w:name w:val="footnote text"/>
    <w:basedOn w:val="Normal"/>
    <w:link w:val="FootnoteTextChar"/>
    <w:uiPriority w:val="99"/>
    <w:unhideWhenUsed/>
    <w:rsid w:val="00AE32FF"/>
    <w:pPr>
      <w:spacing w:line="240" w:lineRule="auto"/>
      <w:ind w:firstLine="0"/>
      <w:jc w:val="left"/>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AE32FF"/>
    <w:rPr>
      <w:rFonts w:asciiTheme="minorHAnsi" w:hAnsiTheme="minorHAnsi" w:cstheme="minorBidi"/>
      <w:sz w:val="20"/>
      <w:szCs w:val="20"/>
      <w:lang w:val="en-GB"/>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
    <w:basedOn w:val="DefaultParagraphFont"/>
    <w:uiPriority w:val="99"/>
    <w:unhideWhenUsed/>
    <w:qFormat/>
    <w:rsid w:val="00AE32FF"/>
    <w:rPr>
      <w:sz w:val="16"/>
      <w:vertAlign w:val="superscript"/>
    </w:rPr>
  </w:style>
  <w:style w:type="table" w:styleId="TableGrid">
    <w:name w:val="Table Grid"/>
    <w:basedOn w:val="TableNormal"/>
    <w:uiPriority w:val="39"/>
    <w:rsid w:val="00190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CD5"/>
    <w:rPr>
      <w:color w:val="0563C1" w:themeColor="hyperlink"/>
      <w:u w:val="single"/>
    </w:rPr>
  </w:style>
  <w:style w:type="character" w:customStyle="1" w:styleId="UnresolvedMention">
    <w:name w:val="Unresolved Mention"/>
    <w:basedOn w:val="DefaultParagraphFont"/>
    <w:uiPriority w:val="99"/>
    <w:semiHidden/>
    <w:unhideWhenUsed/>
    <w:rsid w:val="00182CD5"/>
    <w:rPr>
      <w:color w:val="605E5C"/>
      <w:shd w:val="clear" w:color="auto" w:fill="E1DFDD"/>
    </w:rPr>
  </w:style>
  <w:style w:type="paragraph" w:customStyle="1" w:styleId="Normal1">
    <w:name w:val="Normal1"/>
    <w:basedOn w:val="Normal"/>
    <w:rsid w:val="00776739"/>
    <w:pPr>
      <w:spacing w:before="100" w:beforeAutospacing="1" w:after="100" w:afterAutospacing="1" w:line="240" w:lineRule="auto"/>
      <w:ind w:firstLine="0"/>
      <w:jc w:val="left"/>
    </w:pPr>
    <w:rPr>
      <w:rFonts w:eastAsia="Times New Roman" w:cs="Times New Roman"/>
      <w:szCs w:val="24"/>
    </w:rPr>
  </w:style>
  <w:style w:type="paragraph" w:styleId="ListParagraph">
    <w:name w:val="List Paragraph"/>
    <w:basedOn w:val="Normal"/>
    <w:uiPriority w:val="34"/>
    <w:qFormat/>
    <w:rsid w:val="00776739"/>
    <w:pPr>
      <w:spacing w:after="200" w:line="276" w:lineRule="auto"/>
      <w:ind w:left="720" w:firstLine="0"/>
      <w:contextualSpacing/>
      <w:jc w:val="left"/>
    </w:pPr>
    <w:rPr>
      <w:rFonts w:asciiTheme="minorHAnsi" w:hAnsiTheme="minorHAnsi" w:cstheme="minorBidi"/>
      <w:sz w:val="22"/>
      <w:szCs w:val="22"/>
      <w:lang w:val="en-GB"/>
    </w:rPr>
  </w:style>
  <w:style w:type="character" w:customStyle="1" w:styleId="markedcontent">
    <w:name w:val="markedcontent"/>
    <w:basedOn w:val="DefaultParagraphFont"/>
    <w:rsid w:val="00CC6A61"/>
  </w:style>
  <w:style w:type="paragraph" w:customStyle="1" w:styleId="yiv3556016610msonormal">
    <w:name w:val="yiv3556016610msonormal"/>
    <w:basedOn w:val="Normal"/>
    <w:rsid w:val="00C0513B"/>
    <w:pPr>
      <w:spacing w:before="100" w:beforeAutospacing="1" w:after="100" w:afterAutospacing="1" w:line="240" w:lineRule="auto"/>
      <w:ind w:firstLine="0"/>
      <w:jc w:val="left"/>
    </w:pPr>
    <w:rPr>
      <w:rFonts w:eastAsia="Times New Roman" w:cs="Times New Roman"/>
      <w:szCs w:val="24"/>
    </w:rPr>
  </w:style>
  <w:style w:type="table" w:customStyle="1" w:styleId="TableGrid1">
    <w:name w:val="Table Grid1"/>
    <w:basedOn w:val="TableNormal"/>
    <w:next w:val="TableGrid"/>
    <w:uiPriority w:val="39"/>
    <w:rsid w:val="002F7001"/>
    <w:pPr>
      <w:ind w:firstLine="0"/>
      <w:jc w:val="left"/>
    </w:pPr>
    <w:rPr>
      <w:rFonts w:ascii="Calibri" w:hAnsi="Calibri" w:cs="Arial"/>
      <w:sz w:val="22"/>
      <w:szCs w:val="22"/>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23CB"/>
    <w:pPr>
      <w:ind w:firstLine="0"/>
      <w:jc w:val="left"/>
    </w:pPr>
    <w:rPr>
      <w:rFonts w:ascii="Calibri" w:hAnsi="Calibri" w:cs="Arial"/>
      <w:sz w:val="22"/>
      <w:szCs w:val="22"/>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2BAA"/>
    <w:pPr>
      <w:ind w:firstLine="0"/>
      <w:jc w:val="left"/>
    </w:pPr>
    <w:rPr>
      <w:rFonts w:ascii="Calibri" w:hAnsi="Calibri" w:cs="Arial"/>
      <w:sz w:val="22"/>
      <w:szCs w:val="22"/>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40926"/>
    <w:pPr>
      <w:ind w:firstLine="0"/>
      <w:jc w:val="left"/>
    </w:pPr>
    <w:rPr>
      <w:rFonts w:ascii="Calibri" w:hAnsi="Calibri" w:cs="Arial"/>
      <w:sz w:val="22"/>
      <w:szCs w:val="22"/>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87C4A"/>
    <w:pPr>
      <w:ind w:firstLine="0"/>
      <w:jc w:val="left"/>
    </w:pPr>
    <w:rPr>
      <w:rFonts w:ascii="Calibri" w:hAnsi="Calibri" w:cs="Arial"/>
      <w:sz w:val="22"/>
      <w:szCs w:val="22"/>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620BB"/>
    <w:pPr>
      <w:spacing w:after="100"/>
    </w:pPr>
  </w:style>
  <w:style w:type="paragraph" w:styleId="TOC2">
    <w:name w:val="toc 2"/>
    <w:basedOn w:val="Normal"/>
    <w:next w:val="Normal"/>
    <w:autoRedefine/>
    <w:uiPriority w:val="39"/>
    <w:unhideWhenUsed/>
    <w:rsid w:val="007620BB"/>
    <w:pPr>
      <w:spacing w:after="100"/>
      <w:ind w:left="240"/>
    </w:pPr>
  </w:style>
  <w:style w:type="paragraph" w:styleId="TOC3">
    <w:name w:val="toc 3"/>
    <w:basedOn w:val="Normal"/>
    <w:next w:val="Normal"/>
    <w:autoRedefine/>
    <w:uiPriority w:val="39"/>
    <w:unhideWhenUsed/>
    <w:rsid w:val="007620BB"/>
    <w:pPr>
      <w:spacing w:after="100"/>
      <w:ind w:left="480"/>
    </w:pPr>
  </w:style>
  <w:style w:type="paragraph" w:styleId="Header">
    <w:name w:val="header"/>
    <w:basedOn w:val="Normal"/>
    <w:link w:val="HeaderChar"/>
    <w:uiPriority w:val="99"/>
    <w:unhideWhenUsed/>
    <w:rsid w:val="007620BB"/>
    <w:pPr>
      <w:tabs>
        <w:tab w:val="center" w:pos="4513"/>
        <w:tab w:val="right" w:pos="9026"/>
      </w:tabs>
      <w:spacing w:line="240" w:lineRule="auto"/>
    </w:pPr>
  </w:style>
  <w:style w:type="character" w:customStyle="1" w:styleId="HeaderChar">
    <w:name w:val="Header Char"/>
    <w:basedOn w:val="DefaultParagraphFont"/>
    <w:link w:val="Header"/>
    <w:uiPriority w:val="99"/>
    <w:rsid w:val="007620BB"/>
  </w:style>
  <w:style w:type="paragraph" w:styleId="Footer">
    <w:name w:val="footer"/>
    <w:basedOn w:val="Normal"/>
    <w:link w:val="FooterChar"/>
    <w:uiPriority w:val="99"/>
    <w:unhideWhenUsed/>
    <w:rsid w:val="007620BB"/>
    <w:pPr>
      <w:tabs>
        <w:tab w:val="center" w:pos="4513"/>
        <w:tab w:val="right" w:pos="9026"/>
      </w:tabs>
      <w:spacing w:line="240" w:lineRule="auto"/>
    </w:pPr>
  </w:style>
  <w:style w:type="character" w:customStyle="1" w:styleId="FooterChar">
    <w:name w:val="Footer Char"/>
    <w:basedOn w:val="DefaultParagraphFont"/>
    <w:link w:val="Footer"/>
    <w:uiPriority w:val="99"/>
    <w:rsid w:val="007620BB"/>
  </w:style>
  <w:style w:type="character" w:styleId="FollowedHyperlink">
    <w:name w:val="FollowedHyperlink"/>
    <w:basedOn w:val="DefaultParagraphFont"/>
    <w:uiPriority w:val="99"/>
    <w:semiHidden/>
    <w:unhideWhenUsed/>
    <w:rsid w:val="00511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09980">
      <w:bodyDiv w:val="1"/>
      <w:marLeft w:val="0"/>
      <w:marRight w:val="0"/>
      <w:marTop w:val="0"/>
      <w:marBottom w:val="0"/>
      <w:divBdr>
        <w:top w:val="none" w:sz="0" w:space="0" w:color="auto"/>
        <w:left w:val="none" w:sz="0" w:space="0" w:color="auto"/>
        <w:bottom w:val="none" w:sz="0" w:space="0" w:color="auto"/>
        <w:right w:val="none" w:sz="0" w:space="0" w:color="auto"/>
      </w:divBdr>
    </w:div>
    <w:div w:id="1147740723">
      <w:bodyDiv w:val="1"/>
      <w:marLeft w:val="0"/>
      <w:marRight w:val="0"/>
      <w:marTop w:val="0"/>
      <w:marBottom w:val="0"/>
      <w:divBdr>
        <w:top w:val="none" w:sz="0" w:space="0" w:color="auto"/>
        <w:left w:val="none" w:sz="0" w:space="0" w:color="auto"/>
        <w:bottom w:val="none" w:sz="0" w:space="0" w:color="auto"/>
        <w:right w:val="none" w:sz="0" w:space="0" w:color="auto"/>
      </w:divBdr>
    </w:div>
    <w:div w:id="1451823485">
      <w:bodyDiv w:val="1"/>
      <w:marLeft w:val="0"/>
      <w:marRight w:val="0"/>
      <w:marTop w:val="0"/>
      <w:marBottom w:val="0"/>
      <w:divBdr>
        <w:top w:val="none" w:sz="0" w:space="0" w:color="auto"/>
        <w:left w:val="none" w:sz="0" w:space="0" w:color="auto"/>
        <w:bottom w:val="none" w:sz="0" w:space="0" w:color="auto"/>
        <w:right w:val="none" w:sz="0" w:space="0" w:color="auto"/>
      </w:divBdr>
    </w:div>
    <w:div w:id="1604916999">
      <w:bodyDiv w:val="1"/>
      <w:marLeft w:val="0"/>
      <w:marRight w:val="0"/>
      <w:marTop w:val="0"/>
      <w:marBottom w:val="0"/>
      <w:divBdr>
        <w:top w:val="none" w:sz="0" w:space="0" w:color="auto"/>
        <w:left w:val="none" w:sz="0" w:space="0" w:color="auto"/>
        <w:bottom w:val="none" w:sz="0" w:space="0" w:color="auto"/>
        <w:right w:val="none" w:sz="0" w:space="0" w:color="auto"/>
      </w:divBdr>
    </w:div>
    <w:div w:id="177918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ki-latvija.lv/en/jaunums/evaluation-of-the-implementation-of-the-eqf-recommendation" TargetMode="External"/><Relationship Id="rId18" Type="http://schemas.openxmlformats.org/officeDocument/2006/relationships/hyperlink" Target="https://www.mpn.gov.rs/wp-content/uploads/2018/08/AP-SROS-IZVESTAJ-15jun.pdf" TargetMode="External"/><Relationship Id="rId26" Type="http://schemas.openxmlformats.org/officeDocument/2006/relationships/hyperlink" Target="https://rsjp.gov.rs/wp-content/uploads/Prirucnik-za-upravljanje-javnim-politikama-sa-aneksima-za-objavljivanje-07-09-2021.pdf" TargetMode="External"/><Relationship Id="rId3" Type="http://schemas.openxmlformats.org/officeDocument/2006/relationships/styles" Target="styles.xml"/><Relationship Id="rId21" Type="http://schemas.openxmlformats.org/officeDocument/2006/relationships/hyperlink" Target="https://www.oecd.org/derec/undp/35419508.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profile/Keith_Morrison3/publication/342465830_EVALUATING_%27WHAT_WORKS%27_IN_NATIONAL_QUALIFICATIONS_FRAMEWORKS_EFFECTIVENESS_EFFICACY_AND_IMPACT/links/5ef58ecf4585155050728d02/EVALUATING-WHAT-WORKS-IN-NATIONAL-" TargetMode="External"/><Relationship Id="rId17" Type="http://schemas.openxmlformats.org/officeDocument/2006/relationships/hyperlink" Target="https://www.dhet.gov.za/ResearchNew/NQFA%20Full%20Evaluation%20Report%20Final%20STC_.pdf" TargetMode="External"/><Relationship Id="rId25" Type="http://schemas.openxmlformats.org/officeDocument/2006/relationships/hyperlink" Target="http://noks.mpn.gov.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xUriServ/LexUriServ.do?uri=OJ:C:2008:111:0001:0007:EN:PDF" TargetMode="External"/><Relationship Id="rId20" Type="http://schemas.openxmlformats.org/officeDocument/2006/relationships/hyperlink" Target="https://assets.publishing.service.gov.uk/government/uploads/system/uploads/attachment_data/file/879438/HMT_Magenta_Book.pdf" TargetMode="External"/><Relationship Id="rId29" Type="http://schemas.openxmlformats.org/officeDocument/2006/relationships/hyperlink" Target="https://www.mpn.gov.rs/wp-content/uploads/2015/08/STRATEGIJA-OBRAZOVAN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32017H0615(01)" TargetMode="External"/><Relationship Id="rId24" Type="http://schemas.openxmlformats.org/officeDocument/2006/relationships/hyperlink" Target="http://noks.mpn.gov.rs/sr_lat/uporedna-tabela-nivoa-kvalifikacija-i-vrsta-obrazovan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edefop.europa.eu/en/country-reports/european-inventory-of-nqfs?search=&amp;year=&amp;country=&amp;sort_order=DESC&amp;items_per_page=24&amp;page=1" TargetMode="External"/><Relationship Id="rId23" Type="http://schemas.openxmlformats.org/officeDocument/2006/relationships/hyperlink" Target="https://europa.eu/europass/en/europass-tools/european-qualifications-framework/national-qualifications-frameworks" TargetMode="External"/><Relationship Id="rId28" Type="http://schemas.openxmlformats.org/officeDocument/2006/relationships/hyperlink" Target="https://www.nsz.gov.rs/live/digitalAssets/1/1336_skvis_strategijakarijernog.pdf" TargetMode="External"/><Relationship Id="rId10" Type="http://schemas.openxmlformats.org/officeDocument/2006/relationships/footer" Target="footer1.xml"/><Relationship Id="rId19" Type="http://schemas.openxmlformats.org/officeDocument/2006/relationships/hyperlink" Target="https://www.etf.europa.eu/en/publications-and-resources/publications/linking-vocational-education-and-training-standards-and" TargetMode="External"/><Relationship Id="rId31" Type="http://schemas.openxmlformats.org/officeDocument/2006/relationships/hyperlink" Target="https://www.pravno-informacioni-sistem.rs/SlGlasnikPortal/eli/rep/sgrs/vlada/uredba/2019/8/9/re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ata.europa.eu/doi/10.2766/291008" TargetMode="External"/><Relationship Id="rId22" Type="http://schemas.openxmlformats.org/officeDocument/2006/relationships/hyperlink" Target="https://www.cedefop.europa.eu/files/4137_en.pdf" TargetMode="External"/><Relationship Id="rId27" Type="http://schemas.openxmlformats.org/officeDocument/2006/relationships/hyperlink" Target="https://www.researchgate.net/publication/236144404_Research_Methods_For_Policy_Evaluation" TargetMode="External"/><Relationship Id="rId30" Type="http://schemas.openxmlformats.org/officeDocument/2006/relationships/hyperlink" Target="https://www.saqa.org.za/docs/pol/2003/quality_assure.pdf"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noks.mpn.gov.rs/sr_lat/uporedna-tabela-nivoa-kvalifikacija-i-vrsta-obrazovanja/" TargetMode="External"/><Relationship Id="rId2" Type="http://schemas.openxmlformats.org/officeDocument/2006/relationships/hyperlink" Target="https://eur-lex.europa.eu/LexUriServ/LexUriServ.do?uri=OJ:C:2008:111:0001:0007:EN:PDF" TargetMode="External"/><Relationship Id="rId1" Type="http://schemas.openxmlformats.org/officeDocument/2006/relationships/hyperlink" Target="https://www.mpn.gov.rs/wp-content/uploads/2015/08/STRATEGIJA-OBRAZOVANJA.pdf" TargetMode="External"/><Relationship Id="rId4" Type="http://schemas.openxmlformats.org/officeDocument/2006/relationships/hyperlink" Target="https://rsjp.gov.rs/wp-content/uploads/Update-0921-Prirucnik-za-analizu-efekata-javnih-politika-i-propisa-FINAL-FINAL-290720-Objavljen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E6D6-6157-4812-A38A-E48EE1B3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IT Victory (Client_Services)</cp:lastModifiedBy>
  <cp:revision>2</cp:revision>
  <dcterms:created xsi:type="dcterms:W3CDTF">2023-07-10T09:56:00Z</dcterms:created>
  <dcterms:modified xsi:type="dcterms:W3CDTF">2023-07-10T09:56:00Z</dcterms:modified>
</cp:coreProperties>
</file>