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5ABC" w14:textId="6FAC6355" w:rsidR="00D42DDC" w:rsidRDefault="004E36CC" w:rsidP="00150F34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3132D7FB" w14:textId="77777777" w:rsidR="00D42DDC" w:rsidRDefault="004E36CC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гласник РС”, бр.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‒ УС, 72/12, 7/14 ‒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14:paraId="0694916D" w14:textId="77777777" w:rsidR="00D42DDC" w:rsidRDefault="004E36CC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0C9BC2E4" w14:textId="77777777" w:rsidR="00D42DDC" w:rsidRDefault="004E36CC">
      <w:pPr>
        <w:spacing w:after="225"/>
        <w:jc w:val="center"/>
      </w:pPr>
      <w:r>
        <w:rPr>
          <w:b/>
          <w:color w:val="000000"/>
        </w:rPr>
        <w:t>УРЕДБУ</w:t>
      </w:r>
    </w:p>
    <w:p w14:paraId="4E905275" w14:textId="77777777" w:rsidR="00D42DDC" w:rsidRDefault="004E36CC">
      <w:pPr>
        <w:spacing w:after="150"/>
        <w:jc w:val="center"/>
      </w:pPr>
      <w:r>
        <w:rPr>
          <w:b/>
          <w:color w:val="000000"/>
        </w:rPr>
        <w:t>о оснивању Канцеларије за дуално образовање и Национални оквир квалификација</w:t>
      </w:r>
    </w:p>
    <w:p w14:paraId="11B84419" w14:textId="77777777" w:rsidR="00D42DDC" w:rsidRDefault="004E36CC">
      <w:pPr>
        <w:spacing w:after="120"/>
        <w:jc w:val="center"/>
      </w:pPr>
      <w:proofErr w:type="spellStart"/>
      <w:r>
        <w:rPr>
          <w:b/>
          <w:color w:val="000000"/>
        </w:rPr>
        <w:t>Садржина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</w:p>
    <w:p w14:paraId="651934A4" w14:textId="77777777" w:rsidR="00D42DDC" w:rsidRDefault="004E36C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13057550" w14:textId="77777777" w:rsidR="00D42DDC" w:rsidRDefault="004E36CC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Национални </w:t>
      </w:r>
      <w:proofErr w:type="spellStart"/>
      <w:r>
        <w:rPr>
          <w:color w:val="000000"/>
        </w:rPr>
        <w:t>оквир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Канцеларија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делокруг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уређење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.</w:t>
      </w:r>
    </w:p>
    <w:p w14:paraId="53722998" w14:textId="77777777" w:rsidR="00D42DDC" w:rsidRDefault="004E36CC">
      <w:pPr>
        <w:spacing w:after="150"/>
      </w:pPr>
      <w:proofErr w:type="spellStart"/>
      <w:r>
        <w:rPr>
          <w:color w:val="000000"/>
        </w:rPr>
        <w:t>Канцеларија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.</w:t>
      </w:r>
    </w:p>
    <w:p w14:paraId="5DB29A83" w14:textId="77777777" w:rsidR="00D42DDC" w:rsidRDefault="004E36CC">
      <w:pPr>
        <w:spacing w:after="120"/>
        <w:jc w:val="center"/>
      </w:pPr>
      <w:proofErr w:type="spellStart"/>
      <w:r>
        <w:rPr>
          <w:b/>
          <w:color w:val="000000"/>
        </w:rPr>
        <w:t>Делокруг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Канцеларије</w:t>
      </w:r>
      <w:proofErr w:type="spellEnd"/>
    </w:p>
    <w:p w14:paraId="27DE7BD1" w14:textId="77777777" w:rsidR="00D42DDC" w:rsidRDefault="004E36C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1D40CDCE" w14:textId="77777777" w:rsidR="00D42DDC" w:rsidRDefault="004E36CC">
      <w:pPr>
        <w:spacing w:after="150"/>
      </w:pPr>
      <w:proofErr w:type="spellStart"/>
      <w:r>
        <w:rPr>
          <w:color w:val="000000"/>
        </w:rPr>
        <w:t>Канцеларија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НОКС) и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функционисања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НОКС-а; </w:t>
      </w:r>
      <w:proofErr w:type="spellStart"/>
      <w:r>
        <w:rPr>
          <w:color w:val="000000"/>
        </w:rPr>
        <w:t>повезивање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приватног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целоживотног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прикупљање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усвојених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учествовање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стратешких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нацрта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општих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НОКС-а и </w:t>
      </w:r>
      <w:proofErr w:type="spellStart"/>
      <w:r>
        <w:rPr>
          <w:color w:val="000000"/>
        </w:rPr>
        <w:t>целоживотног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координацији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спровођењу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студијско-аналитичких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средње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каријерно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саветовање</w:t>
      </w:r>
      <w:proofErr w:type="spellEnd"/>
      <w:r>
        <w:rPr>
          <w:color w:val="000000"/>
        </w:rPr>
        <w:t xml:space="preserve"> и НОКС;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, НОКС-а и </w:t>
      </w:r>
      <w:proofErr w:type="spellStart"/>
      <w:r>
        <w:rPr>
          <w:color w:val="000000"/>
        </w:rPr>
        <w:t>целоживотног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предлагању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доношењу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статусом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иницијативама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координацију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програмирању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имплементацији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међународних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, НОКС-а и </w:t>
      </w:r>
      <w:proofErr w:type="spellStart"/>
      <w:r>
        <w:rPr>
          <w:color w:val="000000"/>
        </w:rPr>
        <w:t>целоживотног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обезбеђивање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lastRenderedPageBreak/>
        <w:t>утрошак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донаторских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кредитних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, НОКС-а и </w:t>
      </w:r>
      <w:proofErr w:type="spellStart"/>
      <w:r>
        <w:rPr>
          <w:color w:val="000000"/>
        </w:rPr>
        <w:t>целоживотног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иницира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целоживотно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и НОКС и </w:t>
      </w:r>
      <w:proofErr w:type="spellStart"/>
      <w:r>
        <w:rPr>
          <w:color w:val="000000"/>
        </w:rPr>
        <w:t>његово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квалификацијама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партнерства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партнера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, НОКС-а, </w:t>
      </w:r>
      <w:proofErr w:type="spellStart"/>
      <w:r>
        <w:rPr>
          <w:color w:val="000000"/>
        </w:rPr>
        <w:t>признавања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професија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целоживотног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међународном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>.</w:t>
      </w:r>
    </w:p>
    <w:p w14:paraId="5A24193F" w14:textId="77777777" w:rsidR="00D42DDC" w:rsidRDefault="004E36CC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Републичког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статистику</w:t>
      </w:r>
      <w:proofErr w:type="spellEnd"/>
      <w:r>
        <w:rPr>
          <w:color w:val="000000"/>
        </w:rPr>
        <w:t>.</w:t>
      </w:r>
    </w:p>
    <w:p w14:paraId="35E975AE" w14:textId="77777777" w:rsidR="00D42DDC" w:rsidRDefault="004E36CC">
      <w:pPr>
        <w:spacing w:after="120"/>
        <w:jc w:val="center"/>
      </w:pPr>
      <w:proofErr w:type="spellStart"/>
      <w:r>
        <w:rPr>
          <w:b/>
          <w:color w:val="000000"/>
        </w:rPr>
        <w:t>Директор</w:t>
      </w:r>
      <w:proofErr w:type="spellEnd"/>
    </w:p>
    <w:p w14:paraId="58546E59" w14:textId="77777777" w:rsidR="00D42DDC" w:rsidRDefault="004E36C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3A1A39E1" w14:textId="77777777" w:rsidR="00D42DDC" w:rsidRDefault="004E36CC">
      <w:pPr>
        <w:spacing w:after="150"/>
      </w:pPr>
      <w:proofErr w:type="spellStart"/>
      <w:r>
        <w:rPr>
          <w:color w:val="000000"/>
        </w:rPr>
        <w:t>Канцеларијом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.</w:t>
      </w:r>
    </w:p>
    <w:p w14:paraId="1B2B35A5" w14:textId="77777777" w:rsidR="00D42DDC" w:rsidRDefault="004E36CC">
      <w:pPr>
        <w:spacing w:after="150"/>
      </w:pP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председнику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.</w:t>
      </w:r>
    </w:p>
    <w:p w14:paraId="63B5CAAA" w14:textId="77777777" w:rsidR="00D42DDC" w:rsidRDefault="004E36CC">
      <w:pPr>
        <w:spacing w:after="120"/>
        <w:jc w:val="center"/>
      </w:pPr>
      <w:proofErr w:type="spellStart"/>
      <w:r>
        <w:rPr>
          <w:b/>
          <w:color w:val="000000"/>
        </w:rPr>
        <w:t>Заменик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директора</w:t>
      </w:r>
      <w:proofErr w:type="spellEnd"/>
    </w:p>
    <w:p w14:paraId="502CBFC9" w14:textId="77777777" w:rsidR="00D42DDC" w:rsidRDefault="004E36C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5FC66EAA" w14:textId="77777777" w:rsidR="00D42DDC" w:rsidRDefault="004E36CC">
      <w:pPr>
        <w:spacing w:after="150"/>
      </w:pP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одсутности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спречености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именује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.</w:t>
      </w:r>
    </w:p>
    <w:p w14:paraId="5A905822" w14:textId="77777777" w:rsidR="00D42DDC" w:rsidRDefault="004E36CC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овластити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одсутан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>.</w:t>
      </w:r>
    </w:p>
    <w:p w14:paraId="6E91EB2A" w14:textId="77777777" w:rsidR="00D42DDC" w:rsidRDefault="004E36CC">
      <w:pPr>
        <w:spacing w:after="120"/>
        <w:jc w:val="center"/>
      </w:pPr>
      <w:proofErr w:type="spellStart"/>
      <w:r>
        <w:rPr>
          <w:b/>
          <w:color w:val="000000"/>
        </w:rPr>
        <w:t>Помоћници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директора</w:t>
      </w:r>
      <w:proofErr w:type="spellEnd"/>
    </w:p>
    <w:p w14:paraId="6EF789CA" w14:textId="77777777" w:rsidR="00D42DDC" w:rsidRDefault="004E36C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296DFB00" w14:textId="77777777" w:rsidR="00D42DDC" w:rsidRDefault="004E36CC">
      <w:pPr>
        <w:spacing w:after="150"/>
      </w:pP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.</w:t>
      </w:r>
    </w:p>
    <w:p w14:paraId="7B430923" w14:textId="77777777" w:rsidR="00D42DDC" w:rsidRDefault="004E36CC">
      <w:pPr>
        <w:spacing w:after="150"/>
      </w:pP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заокруженом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облашћу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>.</w:t>
      </w:r>
    </w:p>
    <w:p w14:paraId="55C27142" w14:textId="77777777" w:rsidR="00D42DDC" w:rsidRDefault="004E36CC">
      <w:pPr>
        <w:spacing w:after="120"/>
        <w:jc w:val="center"/>
      </w:pPr>
      <w:proofErr w:type="spellStart"/>
      <w:r>
        <w:rPr>
          <w:b/>
          <w:color w:val="000000"/>
        </w:rPr>
        <w:t>Доношење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општег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уређењу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систематизацији</w:t>
      </w:r>
      <w:proofErr w:type="spellEnd"/>
    </w:p>
    <w:p w14:paraId="1F7FE066" w14:textId="77777777" w:rsidR="00D42DDC" w:rsidRDefault="004E36C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07D0605B" w14:textId="77777777" w:rsidR="00D42DDC" w:rsidRDefault="004E36CC">
      <w:pPr>
        <w:spacing w:after="150"/>
      </w:pPr>
      <w:proofErr w:type="spellStart"/>
      <w:r>
        <w:rPr>
          <w:color w:val="000000"/>
        </w:rPr>
        <w:lastRenderedPageBreak/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унутрашњем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систематизацији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Канцеларији</w:t>
      </w:r>
      <w:proofErr w:type="spellEnd"/>
      <w:r>
        <w:rPr>
          <w:color w:val="000000"/>
        </w:rPr>
        <w:t xml:space="preserve"> –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>.</w:t>
      </w:r>
    </w:p>
    <w:p w14:paraId="600D387B" w14:textId="77777777" w:rsidR="00D42DDC" w:rsidRDefault="004E36CC">
      <w:pPr>
        <w:spacing w:after="120"/>
        <w:jc w:val="center"/>
      </w:pPr>
      <w:proofErr w:type="spellStart"/>
      <w:r>
        <w:rPr>
          <w:b/>
          <w:color w:val="000000"/>
        </w:rPr>
        <w:t>Преузимање</w:t>
      </w:r>
      <w:proofErr w:type="spellEnd"/>
    </w:p>
    <w:p w14:paraId="763CB413" w14:textId="77777777" w:rsidR="00D42DDC" w:rsidRDefault="004E36C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11D5449A" w14:textId="77777777" w:rsidR="00D42DDC" w:rsidRDefault="004E36CC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предмете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архиву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потребну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>.</w:t>
      </w:r>
    </w:p>
    <w:p w14:paraId="3DB579A0" w14:textId="77777777" w:rsidR="00D42DDC" w:rsidRDefault="004E36CC">
      <w:pPr>
        <w:spacing w:after="120"/>
        <w:jc w:val="center"/>
      </w:pPr>
      <w:proofErr w:type="spellStart"/>
      <w:r>
        <w:rPr>
          <w:b/>
          <w:color w:val="000000"/>
        </w:rPr>
        <w:t>Ступање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</w:p>
    <w:p w14:paraId="7607B302" w14:textId="77777777" w:rsidR="00D42DDC" w:rsidRDefault="004E36C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206B434C" w14:textId="77777777" w:rsidR="00D42DDC" w:rsidRDefault="004E36CC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4E017FEB" w14:textId="77777777" w:rsidR="00D42DDC" w:rsidRDefault="004E36CC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110-9069/2022</w:t>
      </w:r>
    </w:p>
    <w:p w14:paraId="2A9534E3" w14:textId="77777777" w:rsidR="00D42DDC" w:rsidRDefault="004E36CC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14:paraId="391AAC20" w14:textId="77777777" w:rsidR="00D42DDC" w:rsidRDefault="004E36CC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14:paraId="4F4A224A" w14:textId="77777777" w:rsidR="00D42DDC" w:rsidRDefault="004E36CC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14:paraId="6A12427A" w14:textId="77777777" w:rsidR="00D42DDC" w:rsidRDefault="004E36CC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D42D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DC"/>
    <w:rsid w:val="00150F34"/>
    <w:rsid w:val="004E36CC"/>
    <w:rsid w:val="00B94B48"/>
    <w:rsid w:val="00D4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4D28"/>
  <w15:docId w15:val="{CB9EAE65-C787-4AF8-9399-0786EB52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babovic</dc:creator>
  <cp:lastModifiedBy>Dell</cp:lastModifiedBy>
  <cp:revision>7</cp:revision>
  <dcterms:created xsi:type="dcterms:W3CDTF">2022-11-28T09:32:00Z</dcterms:created>
  <dcterms:modified xsi:type="dcterms:W3CDTF">2023-03-29T10:51:00Z</dcterms:modified>
</cp:coreProperties>
</file>