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8312" w14:textId="46531773" w:rsidR="003E2388" w:rsidRPr="00203F30" w:rsidRDefault="00915434" w:rsidP="003E2388">
      <w:pPr>
        <w:tabs>
          <w:tab w:val="left" w:pos="1440"/>
        </w:tabs>
        <w:jc w:val="center"/>
        <w:rPr>
          <w:b/>
          <w:bCs/>
          <w:sz w:val="22"/>
          <w:szCs w:val="22"/>
          <w:lang w:val="sr-Cyrl-RS"/>
        </w:rPr>
      </w:pPr>
      <w:r w:rsidRPr="00203F30">
        <w:rPr>
          <w:b/>
          <w:bCs/>
          <w:sz w:val="22"/>
          <w:szCs w:val="22"/>
          <w:lang w:val="sr-Cyrl-RS"/>
        </w:rPr>
        <w:t>CODE OF LEVELS AND TYPES OF QUALIFICATIONS</w:t>
      </w:r>
    </w:p>
    <w:p w14:paraId="07AC2781" w14:textId="77777777" w:rsidR="003E2388" w:rsidRPr="00203F30" w:rsidRDefault="003E2388" w:rsidP="003E2388">
      <w:pPr>
        <w:rPr>
          <w:b/>
          <w:lang w:val="sr-Cyrl-RS"/>
        </w:rPr>
      </w:pPr>
    </w:p>
    <w:tbl>
      <w:tblPr>
        <w:tblW w:w="9913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886"/>
        <w:gridCol w:w="8128"/>
      </w:tblGrid>
      <w:tr w:rsidR="003E2388" w:rsidRPr="00203F30" w14:paraId="6285EFA5" w14:textId="77777777" w:rsidTr="00DF21D5">
        <w:tc>
          <w:tcPr>
            <w:tcW w:w="178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742ACB" w14:textId="20C40A7B" w:rsidR="003E2388" w:rsidRPr="00203F30" w:rsidRDefault="00915434" w:rsidP="003149C2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203F30">
              <w:rPr>
                <w:b/>
                <w:sz w:val="22"/>
                <w:szCs w:val="22"/>
                <w:lang w:val="sr-Latn-RS"/>
              </w:rPr>
              <w:t>Code</w:t>
            </w:r>
          </w:p>
        </w:tc>
        <w:tc>
          <w:tcPr>
            <w:tcW w:w="81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9AB105" w14:textId="7B73C24C" w:rsidR="003E2388" w:rsidRPr="00EB263E" w:rsidRDefault="00EB263E" w:rsidP="00314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Qualification level</w:t>
            </w:r>
          </w:p>
        </w:tc>
      </w:tr>
      <w:tr w:rsidR="003E2388" w:rsidRPr="00203F30" w14:paraId="77247A55" w14:textId="77777777" w:rsidTr="00DF21D5">
        <w:tc>
          <w:tcPr>
            <w:tcW w:w="89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7477D42" w14:textId="3CF29434" w:rsidR="003E2388" w:rsidRPr="00203F30" w:rsidRDefault="00915434" w:rsidP="003149C2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203F30">
              <w:rPr>
                <w:b/>
                <w:sz w:val="22"/>
                <w:szCs w:val="22"/>
                <w:lang w:val="sr-Latn-RS"/>
              </w:rPr>
              <w:t>Level</w:t>
            </w:r>
          </w:p>
        </w:tc>
        <w:tc>
          <w:tcPr>
            <w:tcW w:w="8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C9D3188" w14:textId="45393442" w:rsidR="003E2388" w:rsidRPr="00203F30" w:rsidRDefault="00915434" w:rsidP="003149C2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203F30">
              <w:rPr>
                <w:b/>
                <w:sz w:val="22"/>
                <w:szCs w:val="22"/>
                <w:lang w:val="sr-Latn-RS"/>
              </w:rPr>
              <w:t>Type</w:t>
            </w:r>
          </w:p>
        </w:tc>
        <w:tc>
          <w:tcPr>
            <w:tcW w:w="812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5581FF1A" w14:textId="77777777" w:rsidR="003E2388" w:rsidRPr="00203F30" w:rsidRDefault="003E2388" w:rsidP="003149C2">
            <w:pPr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3E2388" w:rsidRPr="00203F30" w14:paraId="0C2862A3" w14:textId="77777777" w:rsidTr="00DF21D5">
        <w:tc>
          <w:tcPr>
            <w:tcW w:w="899" w:type="dxa"/>
            <w:tcBorders>
              <w:top w:val="double" w:sz="4" w:space="0" w:color="auto"/>
            </w:tcBorders>
            <w:shd w:val="clear" w:color="auto" w:fill="auto"/>
            <w:hideMark/>
          </w:tcPr>
          <w:p w14:paraId="4D7612AD" w14:textId="77777777" w:rsidR="003E2388" w:rsidRPr="00203F30" w:rsidRDefault="003E2388" w:rsidP="003149C2">
            <w:pPr>
              <w:jc w:val="center"/>
              <w:rPr>
                <w:sz w:val="22"/>
                <w:szCs w:val="22"/>
              </w:rPr>
            </w:pPr>
            <w:r w:rsidRPr="00203F30">
              <w:rPr>
                <w:sz w:val="22"/>
                <w:szCs w:val="22"/>
              </w:rPr>
              <w:t>00</w:t>
            </w:r>
          </w:p>
        </w:tc>
        <w:tc>
          <w:tcPr>
            <w:tcW w:w="886" w:type="dxa"/>
            <w:tcBorders>
              <w:top w:val="double" w:sz="4" w:space="0" w:color="auto"/>
            </w:tcBorders>
            <w:shd w:val="clear" w:color="auto" w:fill="auto"/>
            <w:hideMark/>
          </w:tcPr>
          <w:p w14:paraId="45B7642B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0</w:t>
            </w:r>
          </w:p>
        </w:tc>
        <w:tc>
          <w:tcPr>
            <w:tcW w:w="8128" w:type="dxa"/>
            <w:tcBorders>
              <w:top w:val="double" w:sz="4" w:space="0" w:color="auto"/>
            </w:tcBorders>
            <w:shd w:val="clear" w:color="auto" w:fill="auto"/>
            <w:hideMark/>
          </w:tcPr>
          <w:p w14:paraId="278A9FFD" w14:textId="349A5217" w:rsidR="003E2388" w:rsidRPr="00250400" w:rsidRDefault="00C34B9B" w:rsidP="008E3DF0">
            <w:pPr>
              <w:spacing w:after="120"/>
              <w:jc w:val="both"/>
              <w:rPr>
                <w:sz w:val="22"/>
                <w:szCs w:val="22"/>
              </w:rPr>
            </w:pPr>
            <w:r w:rsidRPr="00203F30">
              <w:rPr>
                <w:sz w:val="22"/>
                <w:szCs w:val="22"/>
                <w:lang w:val="sr-Cyrl-RS"/>
              </w:rPr>
              <w:t>A person without primary education</w:t>
            </w:r>
            <w:r w:rsidR="00250400">
              <w:rPr>
                <w:sz w:val="22"/>
                <w:szCs w:val="22"/>
              </w:rPr>
              <w:t xml:space="preserve"> </w:t>
            </w:r>
          </w:p>
        </w:tc>
      </w:tr>
      <w:tr w:rsidR="003E2388" w:rsidRPr="00203F30" w14:paraId="67D17B97" w14:textId="77777777" w:rsidTr="00DF21D5">
        <w:tc>
          <w:tcPr>
            <w:tcW w:w="899" w:type="dxa"/>
            <w:shd w:val="clear" w:color="auto" w:fill="auto"/>
            <w:vAlign w:val="center"/>
            <w:hideMark/>
          </w:tcPr>
          <w:p w14:paraId="045CC3C3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75CEBA52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8128" w:type="dxa"/>
            <w:shd w:val="clear" w:color="auto" w:fill="auto"/>
            <w:hideMark/>
          </w:tcPr>
          <w:p w14:paraId="7A466E5B" w14:textId="7776A29D" w:rsidR="00953721" w:rsidRPr="00203F30" w:rsidRDefault="00953721" w:rsidP="008E3DF0">
            <w:pPr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rFonts w:eastAsia="Times New Roman"/>
                <w:lang w:val="en-GB"/>
              </w:rPr>
              <w:t xml:space="preserve">The first level (Level 1) of NQFS, acquired </w:t>
            </w:r>
            <w:r w:rsidR="00C639A2" w:rsidRPr="00203F30">
              <w:rPr>
                <w:rFonts w:eastAsia="Times New Roman"/>
                <w:lang w:val="en-GB"/>
              </w:rPr>
              <w:t xml:space="preserve">upon </w:t>
            </w:r>
            <w:r w:rsidR="00E76EA7" w:rsidRPr="00203F30">
              <w:rPr>
                <w:rFonts w:eastAsia="Times New Roman"/>
                <w:lang w:val="en-GB"/>
              </w:rPr>
              <w:t>the completion of</w:t>
            </w:r>
            <w:r w:rsidRPr="00203F30">
              <w:rPr>
                <w:rFonts w:eastAsia="Times New Roman"/>
                <w:lang w:val="en-GB"/>
              </w:rPr>
              <w:t xml:space="preserve"> primary education, primary adult education, primary education in music and/or primary ballet education.</w:t>
            </w:r>
            <w:bookmarkStart w:id="0" w:name="_GoBack"/>
            <w:bookmarkEnd w:id="0"/>
          </w:p>
          <w:p w14:paraId="1F7ACCC0" w14:textId="77777777" w:rsidR="003E2388" w:rsidRPr="00203F30" w:rsidRDefault="00953721" w:rsidP="008E3DF0">
            <w:pPr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 xml:space="preserve">Equivalence to the first level (level 1) – </w:t>
            </w:r>
            <w:r w:rsidRPr="00203F30">
              <w:rPr>
                <w:sz w:val="22"/>
                <w:szCs w:val="22"/>
                <w:lang w:val="sr-Latn-RS"/>
              </w:rPr>
              <w:t xml:space="preserve">primary </w:t>
            </w:r>
            <w:r w:rsidRPr="00203F30">
              <w:rPr>
                <w:sz w:val="22"/>
                <w:szCs w:val="22"/>
                <w:lang w:val="sr-Cyrl-RS"/>
              </w:rPr>
              <w:t xml:space="preserve">education acquired on the basis of the regulations that were valid until the </w:t>
            </w:r>
            <w:r w:rsidR="00A31FD5" w:rsidRPr="00203F30">
              <w:rPr>
                <w:sz w:val="22"/>
                <w:szCs w:val="22"/>
                <w:lang w:val="sr-Cyrl-RS"/>
              </w:rPr>
              <w:t xml:space="preserve">came </w:t>
            </w:r>
            <w:r w:rsidRPr="00203F30">
              <w:rPr>
                <w:sz w:val="22"/>
                <w:szCs w:val="22"/>
                <w:lang w:val="sr-Cyrl-RS"/>
              </w:rPr>
              <w:t xml:space="preserve">into force of the Law on the National Qualifications Framework of the Republic of Serbia ("Official Gazette of the RS", no. 27/18 and 6/20) – </w:t>
            </w:r>
            <w:r w:rsidRPr="00203F30">
              <w:rPr>
                <w:sz w:val="22"/>
                <w:szCs w:val="22"/>
                <w:lang w:val="sr-Latn-RS"/>
              </w:rPr>
              <w:t>14</w:t>
            </w:r>
            <w:r w:rsidRPr="00203F30">
              <w:rPr>
                <w:sz w:val="22"/>
                <w:szCs w:val="22"/>
                <w:vertAlign w:val="superscript"/>
                <w:lang w:val="sr-Latn-RS"/>
              </w:rPr>
              <w:t>th</w:t>
            </w:r>
            <w:r w:rsidRPr="00203F30">
              <w:rPr>
                <w:sz w:val="22"/>
                <w:szCs w:val="22"/>
                <w:lang w:val="sr-Latn-RS"/>
              </w:rPr>
              <w:t xml:space="preserve"> </w:t>
            </w:r>
            <w:r w:rsidRPr="00203F30">
              <w:rPr>
                <w:sz w:val="22"/>
                <w:szCs w:val="22"/>
                <w:lang w:val="sr-Cyrl-RS"/>
              </w:rPr>
              <w:t>April, 2018</w:t>
            </w:r>
            <w:r w:rsidR="00850589" w:rsidRPr="00203F30">
              <w:rPr>
                <w:sz w:val="22"/>
                <w:szCs w:val="22"/>
                <w:lang w:val="sr-Latn-RS"/>
              </w:rPr>
              <w:t xml:space="preserve"> </w:t>
            </w:r>
            <w:r w:rsidR="00850589" w:rsidRPr="00203F30">
              <w:t>(hereinafter: the NQFS Law)</w:t>
            </w:r>
            <w:r w:rsidRPr="00203F30">
              <w:rPr>
                <w:sz w:val="22"/>
                <w:szCs w:val="22"/>
                <w:lang w:val="sr-Cyrl-RS"/>
              </w:rPr>
              <w:t>.</w:t>
            </w:r>
          </w:p>
          <w:p w14:paraId="18CC11BF" w14:textId="34B1AE5C" w:rsidR="004F469A" w:rsidRPr="00203F30" w:rsidRDefault="004F469A" w:rsidP="003E2388">
            <w:pPr>
              <w:tabs>
                <w:tab w:val="left" w:pos="2864"/>
              </w:tabs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3E2388" w:rsidRPr="00203F30" w14:paraId="3AA6BAF0" w14:textId="77777777" w:rsidTr="00DF21D5">
        <w:tc>
          <w:tcPr>
            <w:tcW w:w="899" w:type="dxa"/>
            <w:shd w:val="clear" w:color="auto" w:fill="auto"/>
            <w:vAlign w:val="center"/>
            <w:hideMark/>
          </w:tcPr>
          <w:p w14:paraId="6A7F3A54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2DED86A1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128" w:type="dxa"/>
            <w:shd w:val="clear" w:color="auto" w:fill="auto"/>
            <w:vAlign w:val="center"/>
            <w:hideMark/>
          </w:tcPr>
          <w:p w14:paraId="30600B33" w14:textId="31893E3B" w:rsidR="00960A82" w:rsidRPr="00203F30" w:rsidRDefault="00960A82" w:rsidP="008E3DF0">
            <w:pPr>
              <w:spacing w:after="120"/>
              <w:jc w:val="both"/>
              <w:rPr>
                <w:sz w:val="22"/>
                <w:szCs w:val="22"/>
                <w:lang w:val="sr-Latn-RS"/>
              </w:rPr>
            </w:pPr>
            <w:r w:rsidRPr="00203F30">
              <w:rPr>
                <w:sz w:val="22"/>
                <w:szCs w:val="22"/>
                <w:lang w:val="sr-Cyrl-RS"/>
              </w:rPr>
              <w:t>The second level (Level 2)</w:t>
            </w:r>
            <w:r w:rsidRPr="00203F30">
              <w:rPr>
                <w:sz w:val="22"/>
                <w:szCs w:val="22"/>
                <w:lang w:val="sr-Latn-RS"/>
              </w:rPr>
              <w:t xml:space="preserve"> of NQFS</w:t>
            </w:r>
            <w:r w:rsidRPr="00203F30">
              <w:rPr>
                <w:sz w:val="22"/>
                <w:szCs w:val="22"/>
                <w:lang w:val="sr-Cyrl-RS"/>
              </w:rPr>
              <w:t xml:space="preserve">, acquired by </w:t>
            </w:r>
            <w:r w:rsidR="00E377CA" w:rsidRPr="00203F30">
              <w:rPr>
                <w:sz w:val="22"/>
                <w:szCs w:val="22"/>
                <w:lang w:val="sr-Latn-RS"/>
              </w:rPr>
              <w:t>vocation</w:t>
            </w:r>
            <w:r w:rsidR="00EF394A" w:rsidRPr="00203F30">
              <w:rPr>
                <w:sz w:val="22"/>
                <w:szCs w:val="22"/>
                <w:lang w:val="sr-Latn-RS"/>
              </w:rPr>
              <w:t>al</w:t>
            </w:r>
            <w:r w:rsidRPr="00203F30">
              <w:rPr>
                <w:sz w:val="22"/>
                <w:szCs w:val="22"/>
                <w:lang w:val="sr-Cyrl-RS"/>
              </w:rPr>
              <w:t xml:space="preserve"> training, in the </w:t>
            </w:r>
            <w:r w:rsidR="00E377CA" w:rsidRPr="00203F30">
              <w:rPr>
                <w:sz w:val="22"/>
                <w:szCs w:val="22"/>
                <w:lang w:val="sr-Latn-RS"/>
              </w:rPr>
              <w:t>duration</w:t>
            </w:r>
            <w:r w:rsidRPr="00203F30">
              <w:rPr>
                <w:sz w:val="22"/>
                <w:szCs w:val="22"/>
                <w:lang w:val="sr-Cyrl-RS"/>
              </w:rPr>
              <w:t xml:space="preserve"> of up to one year, education for </w:t>
            </w:r>
            <w:r w:rsidR="00D626FB" w:rsidRPr="00203F30">
              <w:rPr>
                <w:sz w:val="22"/>
                <w:szCs w:val="22"/>
                <w:lang w:val="sr-Latn-RS"/>
              </w:rPr>
              <w:t>work</w:t>
            </w:r>
            <w:r w:rsidRPr="00203F30">
              <w:rPr>
                <w:sz w:val="22"/>
                <w:szCs w:val="22"/>
                <w:lang w:val="sr-Cyrl-RS"/>
              </w:rPr>
              <w:t xml:space="preserve"> in the </w:t>
            </w:r>
            <w:r w:rsidR="00D626FB" w:rsidRPr="00203F30">
              <w:rPr>
                <w:sz w:val="22"/>
                <w:szCs w:val="22"/>
                <w:lang w:val="sr-Latn-RS"/>
              </w:rPr>
              <w:t xml:space="preserve">duration </w:t>
            </w:r>
            <w:r w:rsidRPr="00203F30">
              <w:rPr>
                <w:sz w:val="22"/>
                <w:szCs w:val="22"/>
                <w:lang w:val="sr-Cyrl-RS"/>
              </w:rPr>
              <w:t xml:space="preserve">up to two years, and/or non-formal adult education </w:t>
            </w:r>
            <w:r w:rsidR="00F83343" w:rsidRPr="00203F30">
              <w:rPr>
                <w:sz w:val="22"/>
                <w:szCs w:val="22"/>
                <w:lang w:val="sr-Latn-RS"/>
              </w:rPr>
              <w:t>in the duration of</w:t>
            </w:r>
            <w:r w:rsidRPr="00203F30">
              <w:rPr>
                <w:sz w:val="22"/>
                <w:szCs w:val="22"/>
                <w:lang w:val="sr-Cyrl-RS"/>
              </w:rPr>
              <w:t xml:space="preserve"> </w:t>
            </w:r>
            <w:r w:rsidR="00F83343" w:rsidRPr="00203F30">
              <w:rPr>
                <w:sz w:val="22"/>
                <w:szCs w:val="22"/>
                <w:lang w:val="sr-Latn-RS"/>
              </w:rPr>
              <w:t>1</w:t>
            </w:r>
            <w:r w:rsidRPr="00203F30">
              <w:rPr>
                <w:sz w:val="22"/>
                <w:szCs w:val="22"/>
                <w:lang w:val="sr-Cyrl-RS"/>
              </w:rPr>
              <w:t>20</w:t>
            </w:r>
            <w:r w:rsidR="00F65B60" w:rsidRPr="00203F30">
              <w:rPr>
                <w:sz w:val="22"/>
                <w:szCs w:val="22"/>
                <w:lang w:val="sr-Latn-RS"/>
              </w:rPr>
              <w:t>-</w:t>
            </w:r>
            <w:r w:rsidRPr="00203F30">
              <w:rPr>
                <w:sz w:val="22"/>
                <w:szCs w:val="22"/>
                <w:lang w:val="sr-Cyrl-RS"/>
              </w:rPr>
              <w:t xml:space="preserve">360 hours of training. </w:t>
            </w:r>
            <w:r w:rsidR="00F65B60" w:rsidRPr="00203F30">
              <w:rPr>
                <w:sz w:val="22"/>
                <w:szCs w:val="22"/>
                <w:lang w:val="sr-Cyrl-RS"/>
              </w:rPr>
              <w:t>The precondition for the acquiring of this level is the previous acquisition of the NQFS level 1</w:t>
            </w:r>
            <w:r w:rsidR="00DD588C" w:rsidRPr="00203F30">
              <w:rPr>
                <w:sz w:val="22"/>
                <w:szCs w:val="22"/>
                <w:lang w:val="sr-Latn-RS"/>
              </w:rPr>
              <w:t>.</w:t>
            </w:r>
          </w:p>
          <w:p w14:paraId="40555789" w14:textId="2C109826" w:rsidR="00C17A41" w:rsidRPr="00203F30" w:rsidRDefault="00960A82" w:rsidP="008E3DF0">
            <w:pPr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 xml:space="preserve">Equivalence to the second level (level 2) - </w:t>
            </w:r>
            <w:r w:rsidRPr="00203F30">
              <w:rPr>
                <w:rFonts w:eastAsia="Times New Roman"/>
                <w:lang w:val="en-GB"/>
              </w:rPr>
              <w:t>vocational training</w:t>
            </w:r>
            <w:r w:rsidR="00DD588C" w:rsidRPr="00203F30">
              <w:rPr>
                <w:rFonts w:eastAsia="Times New Roman"/>
                <w:lang w:val="en-GB"/>
              </w:rPr>
              <w:t xml:space="preserve"> </w:t>
            </w:r>
            <w:r w:rsidR="00DD588C" w:rsidRPr="00203F30">
              <w:t>in the duration of one year</w:t>
            </w:r>
            <w:r w:rsidRPr="00203F30">
              <w:rPr>
                <w:sz w:val="22"/>
                <w:szCs w:val="22"/>
                <w:lang w:val="sr-Cyrl-RS"/>
              </w:rPr>
              <w:t xml:space="preserve">, which </w:t>
            </w:r>
            <w:r w:rsidR="004F659F" w:rsidRPr="00203F30">
              <w:rPr>
                <w:sz w:val="22"/>
                <w:szCs w:val="22"/>
                <w:lang w:val="sr-Cyrl-RS"/>
              </w:rPr>
              <w:t xml:space="preserve">corresponded to the first </w:t>
            </w:r>
            <w:r w:rsidR="004F659F" w:rsidRPr="00203F30">
              <w:rPr>
                <w:sz w:val="22"/>
                <w:szCs w:val="22"/>
                <w:lang w:val="sr-Latn-RS"/>
              </w:rPr>
              <w:t>degree</w:t>
            </w:r>
            <w:r w:rsidR="004F659F" w:rsidRPr="00203F30">
              <w:rPr>
                <w:sz w:val="22"/>
                <w:szCs w:val="22"/>
                <w:lang w:val="sr-Cyrl-RS"/>
              </w:rPr>
              <w:t xml:space="preserve"> of </w:t>
            </w:r>
            <w:r w:rsidR="004F659F" w:rsidRPr="00203F30">
              <w:rPr>
                <w:sz w:val="22"/>
                <w:szCs w:val="22"/>
                <w:lang w:val="sr-Latn-RS"/>
              </w:rPr>
              <w:t>education</w:t>
            </w:r>
            <w:r w:rsidR="004F659F" w:rsidRPr="00203F30">
              <w:rPr>
                <w:sz w:val="22"/>
                <w:szCs w:val="22"/>
                <w:lang w:val="sr-Cyrl-RS"/>
              </w:rPr>
              <w:t xml:space="preserve"> </w:t>
            </w:r>
            <w:r w:rsidR="00044715" w:rsidRPr="00203F30">
              <w:rPr>
                <w:sz w:val="22"/>
                <w:szCs w:val="22"/>
                <w:lang w:val="sr-Latn-RS"/>
              </w:rPr>
              <w:t>before</w:t>
            </w:r>
            <w:r w:rsidRPr="00203F30">
              <w:rPr>
                <w:sz w:val="22"/>
                <w:szCs w:val="22"/>
                <w:lang w:val="sr-Cyrl-RS"/>
              </w:rPr>
              <w:t xml:space="preserve"> the </w:t>
            </w:r>
            <w:r w:rsidR="006B7B6A" w:rsidRPr="00203F30">
              <w:rPr>
                <w:sz w:val="22"/>
                <w:szCs w:val="22"/>
                <w:lang w:val="sr-Cyrl-RS"/>
              </w:rPr>
              <w:t xml:space="preserve">came </w:t>
            </w:r>
            <w:r w:rsidRPr="00203F30">
              <w:rPr>
                <w:sz w:val="22"/>
                <w:szCs w:val="22"/>
                <w:lang w:val="sr-Cyrl-RS"/>
              </w:rPr>
              <w:t xml:space="preserve">into force of </w:t>
            </w:r>
            <w:r w:rsidR="00044715" w:rsidRPr="00203F30">
              <w:t>the NQFS Law</w:t>
            </w:r>
            <w:r w:rsidRPr="00203F30">
              <w:rPr>
                <w:sz w:val="22"/>
                <w:szCs w:val="22"/>
                <w:lang w:val="sr-Cyrl-RS"/>
              </w:rPr>
              <w:t xml:space="preserve">, and </w:t>
            </w:r>
            <w:r w:rsidRPr="00203F30">
              <w:rPr>
                <w:sz w:val="22"/>
                <w:szCs w:val="22"/>
                <w:lang w:val="sr-Latn-RS"/>
              </w:rPr>
              <w:t xml:space="preserve">the two year </w:t>
            </w:r>
            <w:r w:rsidRPr="00203F30">
              <w:rPr>
                <w:sz w:val="22"/>
                <w:szCs w:val="22"/>
                <w:lang w:val="sr-Cyrl-RS"/>
              </w:rPr>
              <w:t xml:space="preserve">education for work, which </w:t>
            </w:r>
            <w:r w:rsidR="00044715" w:rsidRPr="00203F30">
              <w:rPr>
                <w:sz w:val="22"/>
                <w:szCs w:val="22"/>
                <w:lang w:val="sr-Cyrl-RS"/>
              </w:rPr>
              <w:t xml:space="preserve">corresponded to the second </w:t>
            </w:r>
            <w:r w:rsidR="00044715" w:rsidRPr="00203F30">
              <w:rPr>
                <w:sz w:val="22"/>
                <w:szCs w:val="22"/>
                <w:lang w:val="sr-Latn-RS"/>
              </w:rPr>
              <w:t>degree</w:t>
            </w:r>
            <w:r w:rsidR="00044715" w:rsidRPr="00203F30">
              <w:rPr>
                <w:sz w:val="22"/>
                <w:szCs w:val="22"/>
                <w:lang w:val="sr-Cyrl-RS"/>
              </w:rPr>
              <w:t xml:space="preserve"> of education </w:t>
            </w:r>
            <w:r w:rsidR="00044715" w:rsidRPr="00203F30">
              <w:rPr>
                <w:sz w:val="22"/>
                <w:szCs w:val="22"/>
                <w:lang w:val="sr-Latn-RS"/>
              </w:rPr>
              <w:t>before</w:t>
            </w:r>
            <w:r w:rsidRPr="00203F30">
              <w:rPr>
                <w:sz w:val="22"/>
                <w:szCs w:val="22"/>
                <w:lang w:val="sr-Cyrl-RS"/>
              </w:rPr>
              <w:t xml:space="preserve"> the </w:t>
            </w:r>
            <w:r w:rsidR="00DF309E" w:rsidRPr="00203F30">
              <w:rPr>
                <w:sz w:val="22"/>
                <w:szCs w:val="22"/>
                <w:lang w:val="sr-Cyrl-RS"/>
              </w:rPr>
              <w:t xml:space="preserve">came </w:t>
            </w:r>
            <w:r w:rsidRPr="00203F30">
              <w:rPr>
                <w:sz w:val="22"/>
                <w:szCs w:val="22"/>
                <w:lang w:val="sr-Cyrl-RS"/>
              </w:rPr>
              <w:t xml:space="preserve">into force of the </w:t>
            </w:r>
            <w:r w:rsidR="00044715" w:rsidRPr="00203F30">
              <w:rPr>
                <w:sz w:val="22"/>
                <w:szCs w:val="22"/>
                <w:lang w:val="sr-Latn-RS"/>
              </w:rPr>
              <w:t xml:space="preserve">NQFS </w:t>
            </w:r>
            <w:r w:rsidRPr="00203F30">
              <w:rPr>
                <w:sz w:val="22"/>
                <w:szCs w:val="22"/>
                <w:lang w:val="sr-Cyrl-RS"/>
              </w:rPr>
              <w:t>Law.</w:t>
            </w:r>
          </w:p>
          <w:p w14:paraId="551FA917" w14:textId="3D58BE9D" w:rsidR="003E2388" w:rsidRPr="00203F30" w:rsidRDefault="003E2388" w:rsidP="003149C2">
            <w:pPr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3E2388" w:rsidRPr="00203F30" w14:paraId="79B8B221" w14:textId="77777777" w:rsidTr="00DF21D5">
        <w:tc>
          <w:tcPr>
            <w:tcW w:w="899" w:type="dxa"/>
            <w:shd w:val="clear" w:color="auto" w:fill="auto"/>
            <w:vAlign w:val="center"/>
            <w:hideMark/>
          </w:tcPr>
          <w:p w14:paraId="295E4C06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21975CEC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128" w:type="dxa"/>
            <w:shd w:val="clear" w:color="auto" w:fill="auto"/>
            <w:vAlign w:val="center"/>
            <w:hideMark/>
          </w:tcPr>
          <w:p w14:paraId="64E7B54B" w14:textId="49E9DEFB" w:rsidR="00AB2AA2" w:rsidRPr="00203F30" w:rsidRDefault="00AB2AA2" w:rsidP="008E3DF0">
            <w:pPr>
              <w:spacing w:after="120"/>
              <w:jc w:val="both"/>
              <w:rPr>
                <w:rFonts w:eastAsia="Times New Roman"/>
                <w:lang w:val="en-GB"/>
              </w:rPr>
            </w:pPr>
            <w:r w:rsidRPr="00203F30">
              <w:rPr>
                <w:rFonts w:eastAsia="Times New Roman"/>
                <w:lang w:val="en-GB"/>
              </w:rPr>
              <w:t>The third level (Level 3)</w:t>
            </w:r>
            <w:r w:rsidR="009F1D66" w:rsidRPr="00203F30">
              <w:rPr>
                <w:rFonts w:eastAsia="Times New Roman"/>
                <w:lang w:val="en-GB"/>
              </w:rPr>
              <w:t xml:space="preserve"> </w:t>
            </w:r>
            <w:r w:rsidR="009F1D66" w:rsidRPr="00203F30">
              <w:rPr>
                <w:sz w:val="22"/>
                <w:szCs w:val="22"/>
                <w:lang w:val="sr-Latn-RS"/>
              </w:rPr>
              <w:t>of NQFS</w:t>
            </w:r>
            <w:r w:rsidRPr="00203F30">
              <w:rPr>
                <w:rFonts w:eastAsia="Times New Roman"/>
                <w:lang w:val="en-GB"/>
              </w:rPr>
              <w:t>, acquired by completing secondary vocational education</w:t>
            </w:r>
            <w:r w:rsidR="00EA5303" w:rsidRPr="00203F30">
              <w:rPr>
                <w:rFonts w:eastAsia="Times New Roman"/>
                <w:lang w:val="en-GB"/>
              </w:rPr>
              <w:t xml:space="preserve"> </w:t>
            </w:r>
            <w:r w:rsidR="00EA5303" w:rsidRPr="00203F30">
              <w:rPr>
                <w:sz w:val="22"/>
                <w:szCs w:val="22"/>
                <w:lang w:val="sr-Cyrl-RS"/>
              </w:rPr>
              <w:t>in the duration of three years</w:t>
            </w:r>
            <w:r w:rsidRPr="00203F30">
              <w:rPr>
                <w:rFonts w:eastAsia="Times New Roman"/>
                <w:lang w:val="en-GB"/>
              </w:rPr>
              <w:t xml:space="preserve">, and/or non-formal adult education </w:t>
            </w:r>
            <w:r w:rsidR="007C454B" w:rsidRPr="00203F30">
              <w:rPr>
                <w:rFonts w:eastAsia="Times New Roman"/>
                <w:lang w:val="en-GB"/>
              </w:rPr>
              <w:t>in the duration of at least 960 hours of training</w:t>
            </w:r>
            <w:r w:rsidRPr="00203F30">
              <w:rPr>
                <w:rFonts w:eastAsia="Times New Roman"/>
                <w:lang w:val="en-GB"/>
              </w:rPr>
              <w:t xml:space="preserve">. </w:t>
            </w:r>
            <w:r w:rsidR="003319C5" w:rsidRPr="00203F30">
              <w:t>The requirement for the acquisition of this level is the previous acquisition of the NQFS level 1.</w:t>
            </w:r>
          </w:p>
          <w:p w14:paraId="2822F6E2" w14:textId="72D9CAE3" w:rsidR="00AB2AA2" w:rsidRPr="00203F30" w:rsidRDefault="00AB2AA2" w:rsidP="008E3DF0">
            <w:pPr>
              <w:spacing w:after="120"/>
              <w:jc w:val="both"/>
              <w:rPr>
                <w:sz w:val="22"/>
                <w:szCs w:val="22"/>
                <w:lang w:val="sr-Latn-RS"/>
              </w:rPr>
            </w:pPr>
            <w:r w:rsidRPr="00203F30">
              <w:rPr>
                <w:sz w:val="22"/>
                <w:szCs w:val="22"/>
                <w:lang w:val="sr-Cyrl-RS"/>
              </w:rPr>
              <w:t xml:space="preserve">Equivalence to the </w:t>
            </w:r>
            <w:r w:rsidRPr="00203F30">
              <w:rPr>
                <w:sz w:val="22"/>
                <w:szCs w:val="22"/>
                <w:lang w:val="sr-Latn-RS"/>
              </w:rPr>
              <w:t>third</w:t>
            </w:r>
            <w:r w:rsidRPr="00203F30">
              <w:rPr>
                <w:sz w:val="22"/>
                <w:szCs w:val="22"/>
                <w:lang w:val="sr-Cyrl-RS"/>
              </w:rPr>
              <w:t xml:space="preserve"> level (Level </w:t>
            </w:r>
            <w:r w:rsidRPr="00203F30">
              <w:rPr>
                <w:sz w:val="22"/>
                <w:szCs w:val="22"/>
                <w:lang w:val="sr-Latn-RS"/>
              </w:rPr>
              <w:t>3</w:t>
            </w:r>
            <w:r w:rsidRPr="00203F30">
              <w:rPr>
                <w:sz w:val="22"/>
                <w:szCs w:val="22"/>
                <w:lang w:val="sr-Cyrl-RS"/>
              </w:rPr>
              <w:t xml:space="preserve">) - </w:t>
            </w:r>
            <w:r w:rsidRPr="00203F30">
              <w:rPr>
                <w:rFonts w:eastAsia="Times New Roman"/>
                <w:lang w:val="en-GB"/>
              </w:rPr>
              <w:t>secondary education</w:t>
            </w:r>
            <w:r w:rsidR="00EC7F1E" w:rsidRPr="00203F30">
              <w:rPr>
                <w:rFonts w:eastAsia="Times New Roman"/>
                <w:lang w:val="en-GB"/>
              </w:rPr>
              <w:t xml:space="preserve"> </w:t>
            </w:r>
            <w:r w:rsidR="00EC7F1E" w:rsidRPr="00203F30">
              <w:rPr>
                <w:sz w:val="22"/>
                <w:szCs w:val="22"/>
                <w:lang w:val="sr-Cyrl-RS"/>
              </w:rPr>
              <w:t>in the duration of three years</w:t>
            </w:r>
            <w:r w:rsidRPr="00203F30">
              <w:rPr>
                <w:rFonts w:eastAsia="Times New Roman"/>
                <w:lang w:val="en-GB"/>
              </w:rPr>
              <w:t xml:space="preserve">, </w:t>
            </w:r>
            <w:r w:rsidRPr="00203F30">
              <w:rPr>
                <w:sz w:val="22"/>
                <w:szCs w:val="22"/>
                <w:lang w:val="sr-Cyrl-RS"/>
              </w:rPr>
              <w:t xml:space="preserve">which </w:t>
            </w:r>
            <w:r w:rsidR="00EC7F1E" w:rsidRPr="00203F30">
              <w:rPr>
                <w:rFonts w:eastAsia="Times New Roman"/>
                <w:lang w:val="en-GB"/>
              </w:rPr>
              <w:t>corresponded to the third degree of education</w:t>
            </w:r>
            <w:r w:rsidR="00DF309E" w:rsidRPr="00203F30">
              <w:rPr>
                <w:rFonts w:eastAsia="Times New Roman"/>
                <w:lang w:val="en-GB"/>
              </w:rPr>
              <w:t>,</w:t>
            </w:r>
            <w:r w:rsidR="00EC7F1E" w:rsidRPr="00203F30">
              <w:rPr>
                <w:sz w:val="22"/>
                <w:szCs w:val="22"/>
                <w:lang w:val="sr-Cyrl-RS"/>
              </w:rPr>
              <w:t xml:space="preserve"> </w:t>
            </w:r>
            <w:r w:rsidR="00EC7F1E" w:rsidRPr="00203F30">
              <w:rPr>
                <w:sz w:val="22"/>
                <w:szCs w:val="22"/>
                <w:lang w:val="sr-Latn-RS"/>
              </w:rPr>
              <w:t>before</w:t>
            </w:r>
            <w:r w:rsidRPr="00203F30">
              <w:rPr>
                <w:sz w:val="22"/>
                <w:szCs w:val="22"/>
                <w:lang w:val="sr-Cyrl-RS"/>
              </w:rPr>
              <w:t xml:space="preserve"> </w:t>
            </w:r>
            <w:r w:rsidR="001C2D46" w:rsidRPr="00203F30">
              <w:t>the NQFS Law</w:t>
            </w:r>
            <w:r w:rsidR="001C2D46" w:rsidRPr="00203F30">
              <w:rPr>
                <w:rFonts w:eastAsia="Times New Roman"/>
                <w:lang w:val="en-GB"/>
              </w:rPr>
              <w:t xml:space="preserve"> </w:t>
            </w:r>
            <w:r w:rsidR="00DF309E" w:rsidRPr="00203F30">
              <w:rPr>
                <w:sz w:val="22"/>
                <w:szCs w:val="22"/>
                <w:lang w:val="sr-Cyrl-RS"/>
              </w:rPr>
              <w:t xml:space="preserve">came </w:t>
            </w:r>
            <w:r w:rsidRPr="00203F30">
              <w:rPr>
                <w:sz w:val="22"/>
                <w:szCs w:val="22"/>
                <w:lang w:val="sr-Cyrl-RS"/>
              </w:rPr>
              <w:t>into force</w:t>
            </w:r>
            <w:r w:rsidR="00DF309E" w:rsidRPr="00203F30">
              <w:rPr>
                <w:sz w:val="22"/>
                <w:szCs w:val="22"/>
                <w:lang w:val="sr-Latn-RS"/>
              </w:rPr>
              <w:t>.</w:t>
            </w:r>
          </w:p>
          <w:p w14:paraId="60A3747C" w14:textId="4AE680E6" w:rsidR="003E2388" w:rsidRPr="00203F30" w:rsidRDefault="003E2388" w:rsidP="003149C2">
            <w:pPr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3E2388" w:rsidRPr="00203F30" w14:paraId="0443F16D" w14:textId="77777777" w:rsidTr="00DF21D5">
        <w:tc>
          <w:tcPr>
            <w:tcW w:w="899" w:type="dxa"/>
            <w:shd w:val="clear" w:color="auto" w:fill="auto"/>
            <w:vAlign w:val="center"/>
            <w:hideMark/>
          </w:tcPr>
          <w:p w14:paraId="3D968A35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5340F496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8128" w:type="dxa"/>
            <w:shd w:val="clear" w:color="auto" w:fill="auto"/>
            <w:vAlign w:val="center"/>
            <w:hideMark/>
          </w:tcPr>
          <w:p w14:paraId="6E3EE396" w14:textId="357256E8" w:rsidR="009F1D66" w:rsidRPr="00203F30" w:rsidRDefault="009F1D66" w:rsidP="008E3DF0">
            <w:pPr>
              <w:spacing w:after="120"/>
              <w:jc w:val="both"/>
              <w:rPr>
                <w:sz w:val="22"/>
                <w:szCs w:val="22"/>
                <w:lang w:val="sr-Latn-RS"/>
              </w:rPr>
            </w:pPr>
            <w:r w:rsidRPr="00203F30">
              <w:rPr>
                <w:rFonts w:eastAsia="Times New Roman"/>
                <w:lang w:val="en-GB"/>
              </w:rPr>
              <w:t xml:space="preserve">The </w:t>
            </w:r>
            <w:r w:rsidRPr="00203F30">
              <w:rPr>
                <w:sz w:val="22"/>
                <w:szCs w:val="22"/>
                <w:lang w:val="sr-Cyrl-RS"/>
              </w:rPr>
              <w:t>fourth level (Level 4)</w:t>
            </w:r>
            <w:r w:rsidRPr="00203F30">
              <w:rPr>
                <w:sz w:val="22"/>
                <w:szCs w:val="22"/>
                <w:lang w:val="sr-Latn-RS"/>
              </w:rPr>
              <w:t xml:space="preserve"> of NQFS</w:t>
            </w:r>
            <w:r w:rsidRPr="00203F30">
              <w:rPr>
                <w:sz w:val="22"/>
                <w:szCs w:val="22"/>
                <w:lang w:val="sr-Cyrl-RS"/>
              </w:rPr>
              <w:t>, acquired by completing the secondary general education</w:t>
            </w:r>
            <w:r w:rsidR="00F16A2A" w:rsidRPr="00203F30">
              <w:rPr>
                <w:sz w:val="22"/>
                <w:szCs w:val="22"/>
                <w:lang w:val="sr-Latn-RS"/>
              </w:rPr>
              <w:t xml:space="preserve"> in the duration of four year</w:t>
            </w:r>
            <w:r w:rsidRPr="00203F30">
              <w:rPr>
                <w:sz w:val="22"/>
                <w:szCs w:val="22"/>
                <w:lang w:val="sr-Cyrl-RS"/>
              </w:rPr>
              <w:t xml:space="preserve">. </w:t>
            </w:r>
            <w:r w:rsidR="004F60F9" w:rsidRPr="00203F30">
              <w:t>The requirement for the acquisition of this level is the previous acquisition of the NQFS level 1</w:t>
            </w:r>
            <w:r w:rsidR="0002409A" w:rsidRPr="00203F30">
              <w:rPr>
                <w:sz w:val="22"/>
                <w:szCs w:val="22"/>
                <w:lang w:val="sr-Latn-RS"/>
              </w:rPr>
              <w:t>.</w:t>
            </w:r>
          </w:p>
          <w:p w14:paraId="4C8A81E0" w14:textId="438A34EE" w:rsidR="00522BB0" w:rsidRPr="00203F30" w:rsidRDefault="009F1D66" w:rsidP="008E3DF0">
            <w:pPr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Equivalence to the fourth level (level 4) - secondary education</w:t>
            </w:r>
            <w:r w:rsidR="00EA6E6E" w:rsidRPr="00203F30">
              <w:rPr>
                <w:sz w:val="22"/>
                <w:szCs w:val="22"/>
                <w:lang w:val="sr-Latn-RS"/>
              </w:rPr>
              <w:t xml:space="preserve"> in the duration of four year</w:t>
            </w:r>
            <w:r w:rsidRPr="00203F30">
              <w:rPr>
                <w:sz w:val="22"/>
                <w:szCs w:val="22"/>
                <w:lang w:val="sr-Cyrl-RS"/>
              </w:rPr>
              <w:t xml:space="preserve">, which </w:t>
            </w:r>
            <w:r w:rsidR="006057B0" w:rsidRPr="00203F30">
              <w:rPr>
                <w:sz w:val="22"/>
                <w:szCs w:val="22"/>
                <w:lang w:val="sr-Cyrl-RS"/>
              </w:rPr>
              <w:t>corresponded to the fourth degree</w:t>
            </w:r>
            <w:r w:rsidR="006057B0" w:rsidRPr="00203F30">
              <w:rPr>
                <w:rFonts w:eastAsia="Times New Roman"/>
                <w:lang w:val="en-GB"/>
              </w:rPr>
              <w:t xml:space="preserve"> of education</w:t>
            </w:r>
            <w:r w:rsidR="00594C0E" w:rsidRPr="00203F30">
              <w:rPr>
                <w:rFonts w:eastAsia="Times New Roman"/>
                <w:lang w:val="en-GB"/>
              </w:rPr>
              <w:t>,</w:t>
            </w:r>
            <w:r w:rsidR="006057B0" w:rsidRPr="00203F30">
              <w:rPr>
                <w:sz w:val="22"/>
                <w:szCs w:val="22"/>
                <w:lang w:val="sr-Cyrl-RS"/>
              </w:rPr>
              <w:t xml:space="preserve"> </w:t>
            </w:r>
            <w:r w:rsidR="006057B0" w:rsidRPr="00203F30">
              <w:rPr>
                <w:sz w:val="22"/>
                <w:szCs w:val="22"/>
                <w:lang w:val="sr-Latn-RS"/>
              </w:rPr>
              <w:t xml:space="preserve">before </w:t>
            </w:r>
            <w:r w:rsidR="006057B0" w:rsidRPr="00203F30">
              <w:t>the NQFS Law</w:t>
            </w:r>
            <w:r w:rsidR="006057B0" w:rsidRPr="00203F30">
              <w:rPr>
                <w:sz w:val="22"/>
                <w:szCs w:val="22"/>
                <w:lang w:val="sr-Cyrl-RS"/>
              </w:rPr>
              <w:t xml:space="preserve"> </w:t>
            </w:r>
            <w:r w:rsidR="006B7B6A" w:rsidRPr="00203F30">
              <w:rPr>
                <w:sz w:val="22"/>
                <w:szCs w:val="22"/>
                <w:lang w:val="sr-Cyrl-RS"/>
              </w:rPr>
              <w:t xml:space="preserve">came </w:t>
            </w:r>
            <w:r w:rsidRPr="00203F30">
              <w:rPr>
                <w:sz w:val="22"/>
                <w:szCs w:val="22"/>
                <w:lang w:val="sr-Cyrl-RS"/>
              </w:rPr>
              <w:t>into force</w:t>
            </w:r>
            <w:r w:rsidRPr="00203F30">
              <w:rPr>
                <w:rFonts w:eastAsia="Times New Roman"/>
                <w:lang w:val="en-GB"/>
              </w:rPr>
              <w:t>.</w:t>
            </w:r>
          </w:p>
          <w:p w14:paraId="1342C9C9" w14:textId="299ADC16" w:rsidR="003E2388" w:rsidRPr="00203F30" w:rsidRDefault="003E2388" w:rsidP="003149C2">
            <w:pPr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3E2388" w:rsidRPr="00203F30" w14:paraId="33F42749" w14:textId="77777777" w:rsidTr="00DF21D5">
        <w:tc>
          <w:tcPr>
            <w:tcW w:w="899" w:type="dxa"/>
            <w:shd w:val="clear" w:color="auto" w:fill="auto"/>
            <w:vAlign w:val="center"/>
            <w:hideMark/>
          </w:tcPr>
          <w:p w14:paraId="3D918810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131DA0C3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128" w:type="dxa"/>
            <w:shd w:val="clear" w:color="auto" w:fill="auto"/>
            <w:hideMark/>
          </w:tcPr>
          <w:p w14:paraId="39560D48" w14:textId="7CB81EA6" w:rsidR="003829B4" w:rsidRPr="00203F30" w:rsidRDefault="003829B4" w:rsidP="008E3DF0">
            <w:pPr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rFonts w:eastAsia="Times New Roman"/>
                <w:lang w:val="en-GB"/>
              </w:rPr>
              <w:t xml:space="preserve">The </w:t>
            </w:r>
            <w:r w:rsidRPr="00203F30">
              <w:rPr>
                <w:sz w:val="22"/>
                <w:szCs w:val="22"/>
                <w:lang w:val="sr-Cyrl-RS"/>
              </w:rPr>
              <w:t>fourth level (Level 4)</w:t>
            </w:r>
            <w:r w:rsidRPr="00203F30">
              <w:rPr>
                <w:sz w:val="22"/>
                <w:szCs w:val="22"/>
                <w:lang w:val="sr-Latn-RS"/>
              </w:rPr>
              <w:t xml:space="preserve"> of NQFS</w:t>
            </w:r>
            <w:r w:rsidRPr="00203F30">
              <w:rPr>
                <w:sz w:val="22"/>
                <w:szCs w:val="22"/>
                <w:lang w:val="sr-Cyrl-RS"/>
              </w:rPr>
              <w:t>, acquired by completing secondary vocational or art education</w:t>
            </w:r>
            <w:r w:rsidR="00EA6E6E" w:rsidRPr="00203F30">
              <w:rPr>
                <w:sz w:val="22"/>
                <w:szCs w:val="22"/>
                <w:lang w:val="sr-Latn-RS"/>
              </w:rPr>
              <w:t xml:space="preserve"> in the duration of four year</w:t>
            </w:r>
            <w:r w:rsidRPr="00203F30">
              <w:rPr>
                <w:sz w:val="22"/>
                <w:szCs w:val="22"/>
                <w:lang w:val="sr-Cyrl-RS"/>
              </w:rPr>
              <w:t xml:space="preserve">. </w:t>
            </w:r>
            <w:r w:rsidR="004F60F9" w:rsidRPr="00203F30">
              <w:t>The requirement for the acquisition of this level is the previous acquisition of the NQFS level 1.</w:t>
            </w:r>
          </w:p>
          <w:p w14:paraId="091A116D" w14:textId="29CE91E0" w:rsidR="008C2AB5" w:rsidRPr="00203F30" w:rsidRDefault="003829B4" w:rsidP="008E3DF0">
            <w:pPr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Equivalence to the fourth level (Level 4) - secondary vocational or art education</w:t>
            </w:r>
            <w:r w:rsidR="001B5056" w:rsidRPr="00203F30">
              <w:rPr>
                <w:sz w:val="22"/>
                <w:szCs w:val="22"/>
                <w:lang w:val="sr-Latn-RS"/>
              </w:rPr>
              <w:t xml:space="preserve"> in the duration of four</w:t>
            </w:r>
            <w:r w:rsidR="000227F1" w:rsidRPr="00203F30">
              <w:rPr>
                <w:sz w:val="22"/>
                <w:szCs w:val="22"/>
                <w:lang w:val="sr-Latn-RS"/>
              </w:rPr>
              <w:t xml:space="preserve"> years</w:t>
            </w:r>
            <w:r w:rsidRPr="00203F30">
              <w:rPr>
                <w:sz w:val="22"/>
                <w:szCs w:val="22"/>
                <w:lang w:val="sr-Cyrl-RS"/>
              </w:rPr>
              <w:t xml:space="preserve">, as education acquired in school for talented student, which </w:t>
            </w:r>
            <w:r w:rsidR="00594C0E" w:rsidRPr="00203F30">
              <w:rPr>
                <w:sz w:val="22"/>
                <w:szCs w:val="22"/>
                <w:lang w:val="sr-Cyrl-RS"/>
              </w:rPr>
              <w:t>corresponded to the fourth</w:t>
            </w:r>
            <w:r w:rsidR="00594C0E" w:rsidRPr="00203F30">
              <w:rPr>
                <w:rFonts w:eastAsia="Times New Roman"/>
                <w:lang w:val="en-GB"/>
              </w:rPr>
              <w:t xml:space="preserve"> degree of education</w:t>
            </w:r>
            <w:r w:rsidR="00594C0E" w:rsidRPr="00203F30">
              <w:rPr>
                <w:sz w:val="22"/>
                <w:szCs w:val="22"/>
                <w:lang w:val="sr-Cyrl-RS"/>
              </w:rPr>
              <w:t xml:space="preserve"> </w:t>
            </w:r>
            <w:r w:rsidR="00594C0E" w:rsidRPr="00203F30">
              <w:rPr>
                <w:sz w:val="22"/>
                <w:szCs w:val="22"/>
                <w:lang w:val="sr-Latn-RS"/>
              </w:rPr>
              <w:t>before</w:t>
            </w:r>
            <w:r w:rsidRPr="00203F30">
              <w:rPr>
                <w:sz w:val="22"/>
                <w:szCs w:val="22"/>
                <w:lang w:val="sr-Cyrl-RS"/>
              </w:rPr>
              <w:t xml:space="preserve"> </w:t>
            </w:r>
            <w:r w:rsidR="00606FA3" w:rsidRPr="00203F30">
              <w:t>the NQFS Law</w:t>
            </w:r>
            <w:r w:rsidR="00606FA3" w:rsidRPr="00203F30">
              <w:rPr>
                <w:sz w:val="22"/>
                <w:szCs w:val="22"/>
                <w:lang w:val="sr-Cyrl-RS"/>
              </w:rPr>
              <w:t xml:space="preserve"> </w:t>
            </w:r>
            <w:r w:rsidR="006B7B6A" w:rsidRPr="00203F30">
              <w:rPr>
                <w:sz w:val="22"/>
                <w:szCs w:val="22"/>
                <w:lang w:val="sr-Cyrl-RS"/>
              </w:rPr>
              <w:t xml:space="preserve">came </w:t>
            </w:r>
            <w:r w:rsidRPr="00203F30">
              <w:rPr>
                <w:sz w:val="22"/>
                <w:szCs w:val="22"/>
                <w:lang w:val="sr-Cyrl-RS"/>
              </w:rPr>
              <w:t>into force</w:t>
            </w:r>
            <w:r w:rsidRPr="00203F30">
              <w:rPr>
                <w:rFonts w:eastAsia="Times New Roman"/>
                <w:lang w:val="en-GB"/>
              </w:rPr>
              <w:t>.</w:t>
            </w:r>
          </w:p>
          <w:p w14:paraId="742E6C0D" w14:textId="5A04136B" w:rsidR="003E2388" w:rsidRPr="00203F30" w:rsidRDefault="003E2388" w:rsidP="003E2388">
            <w:pPr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3E2388" w:rsidRPr="00203F30" w14:paraId="08D9A155" w14:textId="77777777" w:rsidTr="00DF21D5">
        <w:tc>
          <w:tcPr>
            <w:tcW w:w="899" w:type="dxa"/>
            <w:shd w:val="clear" w:color="auto" w:fill="auto"/>
            <w:vAlign w:val="center"/>
            <w:hideMark/>
          </w:tcPr>
          <w:p w14:paraId="3893D909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lastRenderedPageBreak/>
              <w:t>50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1AFA0CFB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128" w:type="dxa"/>
            <w:shd w:val="clear" w:color="auto" w:fill="auto"/>
            <w:hideMark/>
          </w:tcPr>
          <w:p w14:paraId="055D1301" w14:textId="0C5D764D" w:rsidR="00277365" w:rsidRPr="00203F30" w:rsidRDefault="00277365" w:rsidP="008E3DF0">
            <w:pPr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The fifth level (Level 5) of</w:t>
            </w:r>
            <w:r w:rsidRPr="00203F30">
              <w:rPr>
                <w:sz w:val="22"/>
                <w:szCs w:val="22"/>
                <w:lang w:val="sr-Latn-RS"/>
              </w:rPr>
              <w:t xml:space="preserve"> the NQFS</w:t>
            </w:r>
            <w:r w:rsidRPr="00203F30">
              <w:rPr>
                <w:sz w:val="22"/>
                <w:szCs w:val="22"/>
                <w:lang w:val="sr-Cyrl-RS"/>
              </w:rPr>
              <w:t>, acquired by completing master</w:t>
            </w:r>
            <w:r w:rsidRPr="00203F30">
              <w:rPr>
                <w:sz w:val="22"/>
                <w:szCs w:val="22"/>
              </w:rPr>
              <w:t xml:space="preserve"> craftsman</w:t>
            </w:r>
            <w:r w:rsidRPr="00203F30">
              <w:rPr>
                <w:sz w:val="22"/>
                <w:szCs w:val="22"/>
                <w:lang w:val="sr-Cyrl-RS"/>
              </w:rPr>
              <w:t xml:space="preserve"> or specialist education </w:t>
            </w:r>
            <w:r w:rsidRPr="00203F30">
              <w:rPr>
                <w:sz w:val="22"/>
                <w:szCs w:val="22"/>
              </w:rPr>
              <w:t xml:space="preserve">in the duration </w:t>
            </w:r>
            <w:r w:rsidR="008F76F0" w:rsidRPr="00203F30">
              <w:rPr>
                <w:sz w:val="22"/>
                <w:szCs w:val="22"/>
              </w:rPr>
              <w:t>1-2</w:t>
            </w:r>
            <w:r w:rsidRPr="00203F30">
              <w:rPr>
                <w:sz w:val="22"/>
                <w:szCs w:val="22"/>
                <w:lang w:val="sr-Cyrl-RS"/>
              </w:rPr>
              <w:t xml:space="preserve"> years</w:t>
            </w:r>
            <w:r w:rsidRPr="00203F30">
              <w:rPr>
                <w:sz w:val="22"/>
                <w:szCs w:val="22"/>
              </w:rPr>
              <w:t xml:space="preserve"> and</w:t>
            </w:r>
            <w:r w:rsidRPr="00203F30">
              <w:rPr>
                <w:sz w:val="22"/>
                <w:szCs w:val="22"/>
                <w:lang w:val="sr-Cyrl-RS"/>
              </w:rPr>
              <w:t xml:space="preserve"> non-formal adult education </w:t>
            </w:r>
            <w:r w:rsidRPr="00203F30">
              <w:rPr>
                <w:sz w:val="22"/>
                <w:szCs w:val="22"/>
              </w:rPr>
              <w:t>un the duration of</w:t>
            </w:r>
            <w:r w:rsidRPr="00203F30">
              <w:rPr>
                <w:sz w:val="22"/>
                <w:szCs w:val="22"/>
                <w:lang w:val="sr-Cyrl-RS"/>
              </w:rPr>
              <w:t xml:space="preserve"> at least six months. The </w:t>
            </w:r>
            <w:r w:rsidRPr="00203F30">
              <w:rPr>
                <w:sz w:val="22"/>
                <w:szCs w:val="22"/>
              </w:rPr>
              <w:t>requirement</w:t>
            </w:r>
            <w:r w:rsidRPr="00203F30">
              <w:rPr>
                <w:sz w:val="22"/>
                <w:szCs w:val="22"/>
                <w:lang w:val="sr-Cyrl-RS"/>
              </w:rPr>
              <w:t xml:space="preserve"> for </w:t>
            </w:r>
            <w:r w:rsidRPr="00203F30">
              <w:rPr>
                <w:sz w:val="22"/>
                <w:szCs w:val="22"/>
              </w:rPr>
              <w:t xml:space="preserve">the </w:t>
            </w:r>
            <w:r w:rsidRPr="00203F30">
              <w:rPr>
                <w:sz w:val="22"/>
                <w:szCs w:val="22"/>
                <w:lang w:val="sr-Cyrl-RS"/>
              </w:rPr>
              <w:t>acqui</w:t>
            </w:r>
            <w:proofErr w:type="spellStart"/>
            <w:r w:rsidRPr="00203F30">
              <w:rPr>
                <w:sz w:val="22"/>
                <w:szCs w:val="22"/>
              </w:rPr>
              <w:t>sition</w:t>
            </w:r>
            <w:proofErr w:type="spellEnd"/>
            <w:r w:rsidRPr="00203F30">
              <w:rPr>
                <w:sz w:val="22"/>
                <w:szCs w:val="22"/>
              </w:rPr>
              <w:t xml:space="preserve"> of </w:t>
            </w:r>
            <w:r w:rsidRPr="00203F30">
              <w:rPr>
                <w:sz w:val="22"/>
                <w:szCs w:val="22"/>
                <w:lang w:val="sr-Cyrl-RS"/>
              </w:rPr>
              <w:t xml:space="preserve">this level is </w:t>
            </w:r>
            <w:r w:rsidRPr="00203F30">
              <w:rPr>
                <w:sz w:val="22"/>
                <w:szCs w:val="22"/>
              </w:rPr>
              <w:t xml:space="preserve">the </w:t>
            </w:r>
            <w:r w:rsidRPr="00203F30">
              <w:rPr>
                <w:sz w:val="22"/>
                <w:szCs w:val="22"/>
                <w:lang w:val="sr-Cyrl-RS"/>
              </w:rPr>
              <w:t>previous acqui</w:t>
            </w:r>
            <w:proofErr w:type="spellStart"/>
            <w:r w:rsidRPr="00203F30">
              <w:rPr>
                <w:sz w:val="22"/>
                <w:szCs w:val="22"/>
              </w:rPr>
              <w:t>sition</w:t>
            </w:r>
            <w:proofErr w:type="spellEnd"/>
            <w:r w:rsidRPr="00203F30">
              <w:rPr>
                <w:sz w:val="22"/>
                <w:szCs w:val="22"/>
              </w:rPr>
              <w:t xml:space="preserve"> of the</w:t>
            </w:r>
            <w:r w:rsidRPr="00203F30">
              <w:rPr>
                <w:sz w:val="22"/>
                <w:szCs w:val="22"/>
                <w:lang w:val="sr-Cyrl-RS"/>
              </w:rPr>
              <w:t xml:space="preserve"> </w:t>
            </w:r>
            <w:r w:rsidRPr="00203F30">
              <w:rPr>
                <w:sz w:val="22"/>
                <w:szCs w:val="22"/>
                <w:lang w:val="sr-Latn-RS"/>
              </w:rPr>
              <w:t>NQFS</w:t>
            </w:r>
            <w:r w:rsidRPr="00203F30">
              <w:rPr>
                <w:sz w:val="22"/>
                <w:szCs w:val="22"/>
                <w:lang w:val="sr-Cyrl-RS"/>
              </w:rPr>
              <w:t xml:space="preserve"> level 3</w:t>
            </w:r>
            <w:r w:rsidRPr="00203F30">
              <w:rPr>
                <w:sz w:val="22"/>
                <w:szCs w:val="22"/>
                <w:lang w:val="sr-Latn-RS"/>
              </w:rPr>
              <w:t xml:space="preserve"> </w:t>
            </w:r>
            <w:r w:rsidRPr="00203F30">
              <w:rPr>
                <w:sz w:val="22"/>
                <w:szCs w:val="22"/>
                <w:lang w:val="sr-Cyrl-RS"/>
              </w:rPr>
              <w:t xml:space="preserve">or level 4, and </w:t>
            </w:r>
            <w:r w:rsidRPr="00203F30">
              <w:rPr>
                <w:sz w:val="22"/>
                <w:szCs w:val="22"/>
              </w:rPr>
              <w:t>the previous</w:t>
            </w:r>
            <w:r w:rsidRPr="00203F30">
              <w:rPr>
                <w:sz w:val="22"/>
                <w:szCs w:val="22"/>
                <w:lang w:val="sr-Cyrl-RS"/>
              </w:rPr>
              <w:t xml:space="preserve"> acquisition </w:t>
            </w:r>
            <w:r w:rsidRPr="00203F30">
              <w:rPr>
                <w:sz w:val="22"/>
                <w:szCs w:val="22"/>
              </w:rPr>
              <w:t xml:space="preserve">of NQFS level 4 </w:t>
            </w:r>
            <w:r w:rsidR="00F53F55" w:rsidRPr="00203F30">
              <w:rPr>
                <w:sz w:val="22"/>
                <w:szCs w:val="22"/>
              </w:rPr>
              <w:t xml:space="preserve">for </w:t>
            </w:r>
            <w:r w:rsidR="00A55DF5" w:rsidRPr="00203F30">
              <w:t xml:space="preserve">the acquisition </w:t>
            </w:r>
            <w:r w:rsidRPr="00203F30">
              <w:rPr>
                <w:sz w:val="22"/>
                <w:szCs w:val="22"/>
              </w:rPr>
              <w:t>through</w:t>
            </w:r>
            <w:r w:rsidRPr="00203F30">
              <w:rPr>
                <w:sz w:val="22"/>
                <w:szCs w:val="22"/>
                <w:lang w:val="sr-Cyrl-RS"/>
              </w:rPr>
              <w:t xml:space="preserve"> non-formal adult education.</w:t>
            </w:r>
          </w:p>
          <w:p w14:paraId="173A89E8" w14:textId="736AD4DB" w:rsidR="003829B4" w:rsidRPr="00203F30" w:rsidRDefault="00277365" w:rsidP="008E3DF0">
            <w:pPr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 xml:space="preserve">Equivalence to the </w:t>
            </w:r>
            <w:r w:rsidRPr="00203F30">
              <w:rPr>
                <w:sz w:val="22"/>
                <w:szCs w:val="22"/>
                <w:lang w:val="sr-Latn-RS"/>
              </w:rPr>
              <w:t>fifth</w:t>
            </w:r>
            <w:r w:rsidRPr="00203F30">
              <w:rPr>
                <w:sz w:val="22"/>
                <w:szCs w:val="22"/>
                <w:lang w:val="sr-Cyrl-RS"/>
              </w:rPr>
              <w:t xml:space="preserve"> level (level </w:t>
            </w:r>
            <w:r w:rsidRPr="00203F30">
              <w:rPr>
                <w:sz w:val="22"/>
                <w:szCs w:val="22"/>
                <w:lang w:val="sr-Latn-RS"/>
              </w:rPr>
              <w:t>5</w:t>
            </w:r>
            <w:r w:rsidRPr="00203F30">
              <w:rPr>
                <w:sz w:val="22"/>
                <w:szCs w:val="22"/>
                <w:lang w:val="sr-Cyrl-RS"/>
              </w:rPr>
              <w:t>)</w:t>
            </w:r>
            <w:r w:rsidRPr="00203F30">
              <w:rPr>
                <w:sz w:val="22"/>
                <w:szCs w:val="22"/>
                <w:lang w:val="sr-Latn-RS"/>
              </w:rPr>
              <w:t xml:space="preserve"> - </w:t>
            </w:r>
            <w:r w:rsidRPr="00203F30">
              <w:rPr>
                <w:sz w:val="22"/>
                <w:szCs w:val="22"/>
                <w:lang w:val="sr-Cyrl-RS"/>
              </w:rPr>
              <w:t xml:space="preserve">education for specialization, which </w:t>
            </w:r>
            <w:r w:rsidR="00FF664B" w:rsidRPr="00203F30">
              <w:rPr>
                <w:sz w:val="22"/>
                <w:szCs w:val="22"/>
                <w:lang w:val="sr-Cyrl-RS"/>
              </w:rPr>
              <w:t xml:space="preserve">corresponded to the fifth </w:t>
            </w:r>
            <w:r w:rsidR="00FF664B" w:rsidRPr="00203F30">
              <w:rPr>
                <w:sz w:val="22"/>
                <w:szCs w:val="22"/>
                <w:lang w:val="sr-Latn-RS"/>
              </w:rPr>
              <w:t>degree</w:t>
            </w:r>
            <w:r w:rsidR="00FF664B" w:rsidRPr="00203F30">
              <w:rPr>
                <w:sz w:val="22"/>
                <w:szCs w:val="22"/>
                <w:lang w:val="sr-Cyrl-RS"/>
              </w:rPr>
              <w:t xml:space="preserve"> of education </w:t>
            </w:r>
            <w:r w:rsidR="00FF664B" w:rsidRPr="00203F30">
              <w:rPr>
                <w:sz w:val="22"/>
                <w:szCs w:val="22"/>
                <w:lang w:val="sr-Latn-RS"/>
              </w:rPr>
              <w:t>before</w:t>
            </w:r>
            <w:r w:rsidRPr="00203F30">
              <w:rPr>
                <w:sz w:val="22"/>
                <w:szCs w:val="22"/>
                <w:lang w:val="sr-Cyrl-RS"/>
              </w:rPr>
              <w:t xml:space="preserve"> </w:t>
            </w:r>
            <w:r w:rsidR="005F159D" w:rsidRPr="00203F30">
              <w:t>the NQFS Law</w:t>
            </w:r>
            <w:r w:rsidR="005F159D" w:rsidRPr="00203F30">
              <w:rPr>
                <w:sz w:val="22"/>
                <w:szCs w:val="22"/>
                <w:lang w:val="sr-Cyrl-RS"/>
              </w:rPr>
              <w:t xml:space="preserve"> </w:t>
            </w:r>
            <w:r w:rsidR="006B7B6A" w:rsidRPr="00203F30">
              <w:rPr>
                <w:sz w:val="22"/>
                <w:szCs w:val="22"/>
                <w:lang w:val="sr-Cyrl-RS"/>
              </w:rPr>
              <w:t xml:space="preserve">came </w:t>
            </w:r>
            <w:r w:rsidRPr="00203F30">
              <w:rPr>
                <w:sz w:val="22"/>
                <w:szCs w:val="22"/>
                <w:lang w:val="sr-Cyrl-RS"/>
              </w:rPr>
              <w:t>into force.</w:t>
            </w:r>
          </w:p>
          <w:p w14:paraId="34E679C1" w14:textId="1CA60789" w:rsidR="003E2388" w:rsidRPr="00203F30" w:rsidRDefault="003E2388" w:rsidP="003149C2">
            <w:pPr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3E2388" w:rsidRPr="00203F30" w14:paraId="7094A907" w14:textId="77777777" w:rsidTr="00DF21D5">
        <w:tc>
          <w:tcPr>
            <w:tcW w:w="899" w:type="dxa"/>
            <w:shd w:val="clear" w:color="auto" w:fill="auto"/>
            <w:vAlign w:val="center"/>
            <w:hideMark/>
          </w:tcPr>
          <w:p w14:paraId="200EE08B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61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75C903D8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128" w:type="dxa"/>
            <w:shd w:val="clear" w:color="auto" w:fill="auto"/>
            <w:vAlign w:val="center"/>
            <w:hideMark/>
          </w:tcPr>
          <w:p w14:paraId="329FCE8F" w14:textId="6474C307" w:rsidR="00E3598D" w:rsidRPr="00203F30" w:rsidRDefault="00E3598D" w:rsidP="008E3DF0">
            <w:pPr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en"/>
              </w:rPr>
              <w:t xml:space="preserve">The sixth level, sublevel one (level 6.1) of the NQFS, which is acquired by completing the </w:t>
            </w:r>
            <w:r w:rsidR="006E7AF5" w:rsidRPr="00203F30">
              <w:rPr>
                <w:sz w:val="22"/>
                <w:szCs w:val="22"/>
                <w:lang w:val="en"/>
              </w:rPr>
              <w:t>bachelor</w:t>
            </w:r>
            <w:r w:rsidRPr="00203F30">
              <w:rPr>
                <w:sz w:val="22"/>
                <w:szCs w:val="22"/>
                <w:lang w:val="en"/>
              </w:rPr>
              <w:t xml:space="preserve"> academic studies (hereinafter: </w:t>
            </w:r>
            <w:r w:rsidR="005F159D" w:rsidRPr="00203F30">
              <w:rPr>
                <w:sz w:val="22"/>
                <w:szCs w:val="22"/>
                <w:lang w:val="en"/>
              </w:rPr>
              <w:t>BAS</w:t>
            </w:r>
            <w:r w:rsidRPr="00203F30">
              <w:rPr>
                <w:sz w:val="22"/>
                <w:szCs w:val="22"/>
                <w:lang w:val="en"/>
              </w:rPr>
              <w:t xml:space="preserve">) with a volume of at least 180 ECTS, is denoted with 6.1 A. The </w:t>
            </w:r>
            <w:r w:rsidR="006E7AF5" w:rsidRPr="00203F30">
              <w:rPr>
                <w:sz w:val="22"/>
                <w:szCs w:val="22"/>
                <w:lang w:val="en"/>
              </w:rPr>
              <w:t>requirement</w:t>
            </w:r>
            <w:r w:rsidRPr="00203F30">
              <w:rPr>
                <w:sz w:val="22"/>
                <w:szCs w:val="22"/>
                <w:lang w:val="en"/>
              </w:rPr>
              <w:t xml:space="preserve"> for acqui</w:t>
            </w:r>
            <w:r w:rsidR="006E7AF5" w:rsidRPr="00203F30">
              <w:rPr>
                <w:sz w:val="22"/>
                <w:szCs w:val="22"/>
                <w:lang w:val="en"/>
              </w:rPr>
              <w:t>sition of</w:t>
            </w:r>
            <w:r w:rsidRPr="00203F30">
              <w:rPr>
                <w:sz w:val="22"/>
                <w:szCs w:val="22"/>
                <w:lang w:val="en"/>
              </w:rPr>
              <w:t xml:space="preserve"> this level is the previous acqui</w:t>
            </w:r>
            <w:r w:rsidR="006E7AF5" w:rsidRPr="00203F30">
              <w:rPr>
                <w:sz w:val="22"/>
                <w:szCs w:val="22"/>
                <w:lang w:val="en"/>
              </w:rPr>
              <w:t>sition of NQF</w:t>
            </w:r>
            <w:r w:rsidR="005F159D" w:rsidRPr="00203F30">
              <w:rPr>
                <w:sz w:val="22"/>
                <w:szCs w:val="22"/>
                <w:lang w:val="en"/>
              </w:rPr>
              <w:t>S</w:t>
            </w:r>
            <w:r w:rsidR="006E7AF5" w:rsidRPr="00203F30">
              <w:rPr>
                <w:sz w:val="22"/>
                <w:szCs w:val="22"/>
                <w:lang w:val="en"/>
              </w:rPr>
              <w:t xml:space="preserve"> </w:t>
            </w:r>
            <w:r w:rsidRPr="00203F30">
              <w:rPr>
                <w:sz w:val="22"/>
                <w:szCs w:val="22"/>
                <w:lang w:val="en"/>
              </w:rPr>
              <w:t xml:space="preserve">level 4 and </w:t>
            </w:r>
            <w:r w:rsidR="006D2D17" w:rsidRPr="00203F30">
              <w:rPr>
                <w:sz w:val="22"/>
                <w:szCs w:val="22"/>
                <w:lang w:val="en"/>
              </w:rPr>
              <w:t>completed</w:t>
            </w:r>
            <w:r w:rsidRPr="00203F30">
              <w:rPr>
                <w:sz w:val="22"/>
                <w:szCs w:val="22"/>
                <w:lang w:val="en"/>
              </w:rPr>
              <w:t xml:space="preserve"> general, vocational or artistic </w:t>
            </w:r>
            <w:r w:rsidR="006D2D17" w:rsidRPr="00203F30">
              <w:rPr>
                <w:sz w:val="22"/>
                <w:szCs w:val="22"/>
                <w:lang w:val="en"/>
              </w:rPr>
              <w:t>Matura examination</w:t>
            </w:r>
            <w:r w:rsidRPr="00203F30">
              <w:rPr>
                <w:sz w:val="22"/>
                <w:szCs w:val="22"/>
                <w:lang w:val="en"/>
              </w:rPr>
              <w:t xml:space="preserve">, in accordance with the laws </w:t>
            </w:r>
            <w:r w:rsidR="006D2D17" w:rsidRPr="00203F30">
              <w:rPr>
                <w:sz w:val="22"/>
                <w:szCs w:val="22"/>
                <w:lang w:val="en"/>
              </w:rPr>
              <w:t>regulating</w:t>
            </w:r>
            <w:r w:rsidRPr="00203F30">
              <w:rPr>
                <w:sz w:val="22"/>
                <w:szCs w:val="22"/>
                <w:lang w:val="en"/>
              </w:rPr>
              <w:t xml:space="preserve"> secondary education and higher education. </w:t>
            </w:r>
          </w:p>
          <w:p w14:paraId="37C406DC" w14:textId="411DA8D1" w:rsidR="00E3598D" w:rsidRPr="00203F30" w:rsidRDefault="00E3598D" w:rsidP="008E3DF0">
            <w:pPr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en"/>
              </w:rPr>
              <w:t xml:space="preserve">Equivalence of the sixth level, sublevel one (level 6.1) – professional title acquired by completing a part of the study program of </w:t>
            </w:r>
            <w:r w:rsidR="006D2D17" w:rsidRPr="00203F30">
              <w:rPr>
                <w:sz w:val="22"/>
                <w:szCs w:val="22"/>
                <w:lang w:val="en"/>
              </w:rPr>
              <w:t>bac</w:t>
            </w:r>
            <w:r w:rsidR="008C4DCF" w:rsidRPr="00203F30">
              <w:rPr>
                <w:sz w:val="22"/>
                <w:szCs w:val="22"/>
                <w:lang w:val="en"/>
              </w:rPr>
              <w:t>helor</w:t>
            </w:r>
            <w:r w:rsidRPr="00203F30">
              <w:rPr>
                <w:sz w:val="22"/>
                <w:szCs w:val="22"/>
                <w:lang w:val="en"/>
              </w:rPr>
              <w:t xml:space="preserve"> </w:t>
            </w:r>
            <w:r w:rsidR="00401E85" w:rsidRPr="00203F30">
              <w:rPr>
                <w:sz w:val="22"/>
                <w:szCs w:val="22"/>
                <w:lang w:val="en"/>
              </w:rPr>
              <w:t xml:space="preserve">academic </w:t>
            </w:r>
            <w:r w:rsidRPr="00203F30">
              <w:rPr>
                <w:sz w:val="22"/>
                <w:szCs w:val="22"/>
                <w:lang w:val="en"/>
              </w:rPr>
              <w:t xml:space="preserve">studies at </w:t>
            </w:r>
            <w:r w:rsidR="00B076AF" w:rsidRPr="00203F30">
              <w:rPr>
                <w:sz w:val="22"/>
                <w:szCs w:val="22"/>
                <w:lang w:val="en"/>
              </w:rPr>
              <w:t>a</w:t>
            </w:r>
            <w:r w:rsidRPr="00203F30">
              <w:rPr>
                <w:sz w:val="22"/>
                <w:szCs w:val="22"/>
                <w:lang w:val="en"/>
              </w:rPr>
              <w:t xml:space="preserve"> </w:t>
            </w:r>
            <w:r w:rsidR="00BE4933" w:rsidRPr="00203F30">
              <w:rPr>
                <w:sz w:val="22"/>
                <w:szCs w:val="22"/>
                <w:lang w:val="en"/>
              </w:rPr>
              <w:t>faculty</w:t>
            </w:r>
            <w:r w:rsidRPr="00203F30">
              <w:rPr>
                <w:sz w:val="22"/>
                <w:szCs w:val="22"/>
                <w:lang w:val="en"/>
              </w:rPr>
              <w:t xml:space="preserve">, whose completion acquires the first </w:t>
            </w:r>
            <w:r w:rsidR="00BE4933" w:rsidRPr="00203F30">
              <w:rPr>
                <w:sz w:val="22"/>
                <w:szCs w:val="22"/>
                <w:lang w:val="en"/>
              </w:rPr>
              <w:t>degree</w:t>
            </w:r>
            <w:r w:rsidRPr="00203F30">
              <w:rPr>
                <w:sz w:val="22"/>
                <w:szCs w:val="22"/>
                <w:lang w:val="en"/>
              </w:rPr>
              <w:t xml:space="preserve"> of higher education, and which </w:t>
            </w:r>
            <w:r w:rsidR="005F159D" w:rsidRPr="00203F30">
              <w:rPr>
                <w:sz w:val="22"/>
                <w:szCs w:val="22"/>
                <w:lang w:val="en"/>
              </w:rPr>
              <w:t>before</w:t>
            </w:r>
            <w:r w:rsidRPr="00203F30">
              <w:rPr>
                <w:sz w:val="22"/>
                <w:szCs w:val="22"/>
                <w:lang w:val="en"/>
              </w:rPr>
              <w:t xml:space="preserve"> the </w:t>
            </w:r>
            <w:r w:rsidR="005F159D" w:rsidRPr="00203F30">
              <w:t>NQFS Law</w:t>
            </w:r>
            <w:r w:rsidR="005F159D" w:rsidRPr="00203F30">
              <w:rPr>
                <w:sz w:val="22"/>
                <w:szCs w:val="22"/>
                <w:lang w:val="en"/>
              </w:rPr>
              <w:t xml:space="preserve"> </w:t>
            </w:r>
            <w:r w:rsidR="005F159D" w:rsidRPr="00203F30">
              <w:rPr>
                <w:sz w:val="22"/>
                <w:szCs w:val="22"/>
                <w:lang w:val="sr-Cyrl-RS"/>
              </w:rPr>
              <w:t xml:space="preserve">came </w:t>
            </w:r>
            <w:r w:rsidRPr="00203F30">
              <w:rPr>
                <w:sz w:val="22"/>
                <w:szCs w:val="22"/>
                <w:lang w:val="en"/>
              </w:rPr>
              <w:t xml:space="preserve">into force in terms of the rights arising from it was equal to the professional title of undergraduate academic studies with a </w:t>
            </w:r>
            <w:r w:rsidR="008B2A44" w:rsidRPr="00203F30">
              <w:rPr>
                <w:sz w:val="22"/>
                <w:szCs w:val="22"/>
                <w:lang w:val="en"/>
              </w:rPr>
              <w:t>minimum</w:t>
            </w:r>
            <w:r w:rsidRPr="00203F30">
              <w:rPr>
                <w:sz w:val="22"/>
                <w:szCs w:val="22"/>
                <w:lang w:val="en"/>
              </w:rPr>
              <w:t xml:space="preserve"> of 180 ECTS.</w:t>
            </w:r>
          </w:p>
          <w:p w14:paraId="417996A2" w14:textId="6F560505" w:rsidR="003E2388" w:rsidRPr="00203F30" w:rsidRDefault="00E3598D" w:rsidP="00773E7F">
            <w:pPr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en"/>
              </w:rPr>
              <w:t xml:space="preserve">Equivalence of the sixth level, sublevel one (level 6.1) – professional title acquired by completing </w:t>
            </w:r>
            <w:r w:rsidR="00C22B11" w:rsidRPr="00203F30">
              <w:rPr>
                <w:sz w:val="22"/>
                <w:szCs w:val="22"/>
                <w:lang w:val="en"/>
              </w:rPr>
              <w:t>bachelor</w:t>
            </w:r>
            <w:r w:rsidRPr="00203F30">
              <w:rPr>
                <w:sz w:val="22"/>
                <w:szCs w:val="22"/>
                <w:lang w:val="en"/>
              </w:rPr>
              <w:t xml:space="preserve"> studies at </w:t>
            </w:r>
            <w:r w:rsidR="00C22B11" w:rsidRPr="00203F30">
              <w:rPr>
                <w:sz w:val="22"/>
                <w:szCs w:val="22"/>
                <w:lang w:val="en"/>
              </w:rPr>
              <w:t>a</w:t>
            </w:r>
            <w:r w:rsidRPr="00203F30">
              <w:rPr>
                <w:sz w:val="22"/>
                <w:szCs w:val="22"/>
                <w:lang w:val="en"/>
              </w:rPr>
              <w:t xml:space="preserve"> faculty, </w:t>
            </w:r>
            <w:r w:rsidR="00B06D9E" w:rsidRPr="00203F30">
              <w:rPr>
                <w:sz w:val="22"/>
                <w:szCs w:val="22"/>
                <w:lang w:val="en"/>
              </w:rPr>
              <w:t>in the duration</w:t>
            </w:r>
            <w:r w:rsidRPr="00203F30">
              <w:rPr>
                <w:sz w:val="22"/>
                <w:szCs w:val="22"/>
                <w:lang w:val="en"/>
              </w:rPr>
              <w:t xml:space="preserve"> of three years, which </w:t>
            </w:r>
            <w:r w:rsidR="00C57428" w:rsidRPr="00203F30">
              <w:rPr>
                <w:sz w:val="22"/>
                <w:szCs w:val="22"/>
                <w:lang w:val="en"/>
              </w:rPr>
              <w:t>before</w:t>
            </w:r>
            <w:r w:rsidRPr="00203F30">
              <w:rPr>
                <w:sz w:val="22"/>
                <w:szCs w:val="22"/>
                <w:lang w:val="en"/>
              </w:rPr>
              <w:t xml:space="preserve"> the </w:t>
            </w:r>
            <w:r w:rsidR="005F159D" w:rsidRPr="00203F30">
              <w:t>NQFS Law</w:t>
            </w:r>
            <w:r w:rsidR="005F159D" w:rsidRPr="00203F30">
              <w:rPr>
                <w:sz w:val="22"/>
                <w:szCs w:val="22"/>
                <w:lang w:val="sr-Cyrl-RS"/>
              </w:rPr>
              <w:t xml:space="preserve"> came </w:t>
            </w:r>
            <w:r w:rsidRPr="00203F30">
              <w:rPr>
                <w:sz w:val="22"/>
                <w:szCs w:val="22"/>
                <w:lang w:val="en"/>
              </w:rPr>
              <w:t xml:space="preserve">into force, in terms of the rights arising from it, was equated with the professional title of </w:t>
            </w:r>
            <w:r w:rsidR="00C77349" w:rsidRPr="00203F30">
              <w:rPr>
                <w:sz w:val="22"/>
                <w:szCs w:val="22"/>
                <w:lang w:val="en"/>
              </w:rPr>
              <w:t>bachelor</w:t>
            </w:r>
            <w:r w:rsidRPr="00203F30">
              <w:rPr>
                <w:sz w:val="22"/>
                <w:szCs w:val="22"/>
                <w:lang w:val="en"/>
              </w:rPr>
              <w:t xml:space="preserve"> academic studies with a </w:t>
            </w:r>
            <w:r w:rsidR="00B12FA7" w:rsidRPr="00203F30">
              <w:rPr>
                <w:sz w:val="22"/>
                <w:szCs w:val="22"/>
                <w:lang w:val="en"/>
              </w:rPr>
              <w:t>minimum</w:t>
            </w:r>
            <w:r w:rsidRPr="00203F30">
              <w:rPr>
                <w:sz w:val="22"/>
                <w:szCs w:val="22"/>
                <w:lang w:val="en"/>
              </w:rPr>
              <w:t xml:space="preserve"> of 180 ECTS</w:t>
            </w:r>
            <w:r w:rsidR="008E3DF0">
              <w:rPr>
                <w:sz w:val="22"/>
                <w:szCs w:val="22"/>
                <w:lang w:val="en"/>
              </w:rPr>
              <w:t>.</w:t>
            </w:r>
          </w:p>
        </w:tc>
      </w:tr>
      <w:tr w:rsidR="003E2388" w:rsidRPr="00203F30" w14:paraId="0FEAEBF6" w14:textId="77777777" w:rsidTr="00DF21D5">
        <w:tc>
          <w:tcPr>
            <w:tcW w:w="899" w:type="dxa"/>
            <w:shd w:val="clear" w:color="auto" w:fill="auto"/>
            <w:vAlign w:val="center"/>
            <w:hideMark/>
          </w:tcPr>
          <w:p w14:paraId="12256C21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61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40B1E7C2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8128" w:type="dxa"/>
            <w:shd w:val="clear" w:color="auto" w:fill="auto"/>
            <w:vAlign w:val="center"/>
            <w:hideMark/>
          </w:tcPr>
          <w:p w14:paraId="5401891B" w14:textId="59199FA3" w:rsidR="00821E66" w:rsidRPr="00203F30" w:rsidRDefault="008B2A44" w:rsidP="008E3DF0">
            <w:pPr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en"/>
              </w:rPr>
              <w:t>The sixth level, sublevel one (level 6.1) of the NQ</w:t>
            </w:r>
            <w:r w:rsidR="00F35012" w:rsidRPr="00203F30">
              <w:rPr>
                <w:sz w:val="22"/>
                <w:szCs w:val="22"/>
                <w:lang w:val="en"/>
              </w:rPr>
              <w:t>F</w:t>
            </w:r>
            <w:r w:rsidRPr="00203F30">
              <w:rPr>
                <w:sz w:val="22"/>
                <w:szCs w:val="22"/>
                <w:lang w:val="en"/>
              </w:rPr>
              <w:t xml:space="preserve">S, which is acquired by completing the basic </w:t>
            </w:r>
            <w:r w:rsidR="004E6487" w:rsidRPr="00203F30">
              <w:rPr>
                <w:sz w:val="22"/>
                <w:szCs w:val="22"/>
                <w:lang w:val="en"/>
              </w:rPr>
              <w:t>applied</w:t>
            </w:r>
            <w:r w:rsidRPr="00203F30">
              <w:rPr>
                <w:sz w:val="22"/>
                <w:szCs w:val="22"/>
                <w:lang w:val="en"/>
              </w:rPr>
              <w:t xml:space="preserve"> studies (hereinafter: </w:t>
            </w:r>
            <w:r w:rsidR="005F159D" w:rsidRPr="00203F30">
              <w:rPr>
                <w:sz w:val="22"/>
                <w:szCs w:val="22"/>
                <w:lang w:val="en"/>
              </w:rPr>
              <w:t>BPS</w:t>
            </w:r>
            <w:r w:rsidRPr="00203F30">
              <w:rPr>
                <w:sz w:val="22"/>
                <w:szCs w:val="22"/>
                <w:lang w:val="en"/>
              </w:rPr>
              <w:t xml:space="preserve">) with 180 ECTS, is denoted with 6.1 S. </w:t>
            </w:r>
            <w:r w:rsidR="00821E66" w:rsidRPr="00203F30">
              <w:rPr>
                <w:sz w:val="22"/>
                <w:szCs w:val="22"/>
                <w:lang w:val="en"/>
              </w:rPr>
              <w:t>The requirement for acquisition of this level is the previous acquisition of NQF</w:t>
            </w:r>
            <w:r w:rsidR="005F159D" w:rsidRPr="00203F30">
              <w:rPr>
                <w:sz w:val="22"/>
                <w:szCs w:val="22"/>
                <w:lang w:val="en"/>
              </w:rPr>
              <w:t>S</w:t>
            </w:r>
            <w:r w:rsidR="00821E66" w:rsidRPr="00203F30">
              <w:rPr>
                <w:sz w:val="22"/>
                <w:szCs w:val="22"/>
                <w:lang w:val="en"/>
              </w:rPr>
              <w:t xml:space="preserve"> level 4 and completed general, vocational or artistic Matura examination, in accordance with the laws regulating secondary education and higher education.</w:t>
            </w:r>
          </w:p>
          <w:p w14:paraId="17901D5E" w14:textId="4C25B59D" w:rsidR="008B2A44" w:rsidRPr="00203F30" w:rsidRDefault="008B2A44" w:rsidP="008E3DF0">
            <w:pPr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en"/>
              </w:rPr>
              <w:t xml:space="preserve">Equivalence of the sixth level, sublevel one (level 6.1) – professional title acquired by completing studies at a </w:t>
            </w:r>
            <w:r w:rsidR="006A05DD" w:rsidRPr="00203F30">
              <w:rPr>
                <w:sz w:val="22"/>
                <w:szCs w:val="22"/>
                <w:lang w:val="en"/>
              </w:rPr>
              <w:t>college</w:t>
            </w:r>
            <w:r w:rsidRPr="00203F30">
              <w:rPr>
                <w:sz w:val="22"/>
                <w:szCs w:val="22"/>
                <w:lang w:val="en"/>
              </w:rPr>
              <w:t xml:space="preserve">, </w:t>
            </w:r>
            <w:r w:rsidR="006A05DD" w:rsidRPr="00203F30">
              <w:rPr>
                <w:sz w:val="22"/>
                <w:szCs w:val="22"/>
                <w:lang w:val="en"/>
              </w:rPr>
              <w:t>in the duration</w:t>
            </w:r>
            <w:r w:rsidRPr="00203F30">
              <w:rPr>
                <w:sz w:val="22"/>
                <w:szCs w:val="22"/>
                <w:lang w:val="en"/>
              </w:rPr>
              <w:t xml:space="preserve"> up to three years, which was equal to the professional title of the first </w:t>
            </w:r>
            <w:r w:rsidR="000012CC" w:rsidRPr="00203F30">
              <w:rPr>
                <w:sz w:val="22"/>
                <w:szCs w:val="22"/>
                <w:lang w:val="en"/>
              </w:rPr>
              <w:t>degree</w:t>
            </w:r>
            <w:r w:rsidRPr="00203F30">
              <w:rPr>
                <w:sz w:val="22"/>
                <w:szCs w:val="22"/>
                <w:lang w:val="en"/>
              </w:rPr>
              <w:t xml:space="preserve"> of </w:t>
            </w:r>
            <w:r w:rsidR="00115527" w:rsidRPr="00203F30">
              <w:rPr>
                <w:sz w:val="22"/>
                <w:szCs w:val="22"/>
                <w:lang w:val="en"/>
              </w:rPr>
              <w:t>applied</w:t>
            </w:r>
            <w:r w:rsidRPr="00203F30">
              <w:rPr>
                <w:sz w:val="22"/>
                <w:szCs w:val="22"/>
                <w:lang w:val="en"/>
              </w:rPr>
              <w:t xml:space="preserve"> studies </w:t>
            </w:r>
            <w:r w:rsidR="005F159D" w:rsidRPr="00203F30">
              <w:rPr>
                <w:sz w:val="22"/>
                <w:szCs w:val="22"/>
                <w:lang w:val="en"/>
              </w:rPr>
              <w:t>before</w:t>
            </w:r>
            <w:r w:rsidRPr="00203F30">
              <w:rPr>
                <w:sz w:val="22"/>
                <w:szCs w:val="22"/>
                <w:lang w:val="en"/>
              </w:rPr>
              <w:t xml:space="preserve"> the </w:t>
            </w:r>
            <w:r w:rsidR="005F159D" w:rsidRPr="00203F30">
              <w:t>NQFS Law</w:t>
            </w:r>
            <w:r w:rsidR="005F159D" w:rsidRPr="00203F30">
              <w:rPr>
                <w:sz w:val="22"/>
                <w:szCs w:val="22"/>
                <w:lang w:val="en"/>
              </w:rPr>
              <w:t xml:space="preserve"> </w:t>
            </w:r>
            <w:r w:rsidR="005F159D" w:rsidRPr="00203F30">
              <w:rPr>
                <w:sz w:val="22"/>
                <w:szCs w:val="22"/>
                <w:lang w:val="sr-Cyrl-RS"/>
              </w:rPr>
              <w:t xml:space="preserve">came </w:t>
            </w:r>
            <w:r w:rsidRPr="00203F30">
              <w:rPr>
                <w:sz w:val="22"/>
                <w:szCs w:val="22"/>
                <w:lang w:val="en"/>
              </w:rPr>
              <w:t>into force in terms of the rights arising from it.</w:t>
            </w:r>
          </w:p>
          <w:p w14:paraId="2ED72D20" w14:textId="7C089160" w:rsidR="003E2388" w:rsidRPr="00203F30" w:rsidRDefault="003E2388" w:rsidP="003149C2">
            <w:pPr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3E2388" w:rsidRPr="00203F30" w14:paraId="78C022B5" w14:textId="77777777" w:rsidTr="00DF21D5">
        <w:tc>
          <w:tcPr>
            <w:tcW w:w="899" w:type="dxa"/>
            <w:shd w:val="clear" w:color="auto" w:fill="auto"/>
            <w:vAlign w:val="center"/>
            <w:hideMark/>
          </w:tcPr>
          <w:p w14:paraId="426AECD9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62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1B0D0851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128" w:type="dxa"/>
            <w:shd w:val="clear" w:color="auto" w:fill="auto"/>
            <w:vAlign w:val="center"/>
            <w:hideMark/>
          </w:tcPr>
          <w:p w14:paraId="156981F3" w14:textId="2638820E" w:rsidR="00F76FBF" w:rsidRPr="00203F30" w:rsidRDefault="000C36C4" w:rsidP="008E3DF0">
            <w:pPr>
              <w:spacing w:after="120"/>
              <w:jc w:val="both"/>
              <w:rPr>
                <w:sz w:val="22"/>
                <w:szCs w:val="22"/>
                <w:lang w:val="en"/>
              </w:rPr>
            </w:pPr>
            <w:r w:rsidRPr="00203F30">
              <w:rPr>
                <w:sz w:val="22"/>
                <w:szCs w:val="22"/>
                <w:lang w:val="en"/>
              </w:rPr>
              <w:t>The sixth level, sublevel two (level 6.2) of the N</w:t>
            </w:r>
            <w:r w:rsidR="00F35012" w:rsidRPr="00203F30">
              <w:rPr>
                <w:sz w:val="22"/>
                <w:szCs w:val="22"/>
                <w:lang w:val="en"/>
              </w:rPr>
              <w:t>QFS</w:t>
            </w:r>
            <w:r w:rsidRPr="00203F30">
              <w:rPr>
                <w:sz w:val="22"/>
                <w:szCs w:val="22"/>
                <w:lang w:val="en"/>
              </w:rPr>
              <w:t xml:space="preserve">, which is acquired by completing the </w:t>
            </w:r>
            <w:r w:rsidR="005F159D" w:rsidRPr="00203F30">
              <w:rPr>
                <w:sz w:val="22"/>
                <w:szCs w:val="22"/>
                <w:lang w:val="en"/>
              </w:rPr>
              <w:t>BAS</w:t>
            </w:r>
            <w:r w:rsidRPr="00203F30">
              <w:rPr>
                <w:sz w:val="22"/>
                <w:szCs w:val="22"/>
                <w:lang w:val="en"/>
              </w:rPr>
              <w:t xml:space="preserve"> of at least 240 ECT</w:t>
            </w:r>
            <w:r w:rsidR="005F159D" w:rsidRPr="00203F30">
              <w:rPr>
                <w:sz w:val="22"/>
                <w:szCs w:val="22"/>
                <w:lang w:val="en"/>
              </w:rPr>
              <w:t>S</w:t>
            </w:r>
            <w:r w:rsidRPr="00203F30">
              <w:rPr>
                <w:sz w:val="22"/>
                <w:szCs w:val="22"/>
                <w:lang w:val="en"/>
              </w:rPr>
              <w:t xml:space="preserve">, is marked with 6.2 A. </w:t>
            </w:r>
            <w:r w:rsidR="00F76FBF" w:rsidRPr="00203F30">
              <w:rPr>
                <w:sz w:val="22"/>
                <w:szCs w:val="22"/>
                <w:lang w:val="en"/>
              </w:rPr>
              <w:t>The requirement for acquisition of this level is the previous acquisition of NQF</w:t>
            </w:r>
            <w:r w:rsidR="00F65732" w:rsidRPr="00203F30">
              <w:rPr>
                <w:sz w:val="22"/>
                <w:szCs w:val="22"/>
                <w:lang w:val="en"/>
              </w:rPr>
              <w:t>S</w:t>
            </w:r>
            <w:r w:rsidR="00F76FBF" w:rsidRPr="00203F30">
              <w:rPr>
                <w:sz w:val="22"/>
                <w:szCs w:val="22"/>
                <w:lang w:val="en"/>
              </w:rPr>
              <w:t xml:space="preserve"> level 4 and completed general, vocational or artistic Matura examination, in accordance with the laws regulating secondary education and higher education.</w:t>
            </w:r>
          </w:p>
          <w:p w14:paraId="5E04C9D7" w14:textId="60F93B4C" w:rsidR="003E2388" w:rsidRPr="00203F30" w:rsidRDefault="003E2388" w:rsidP="003149C2">
            <w:pPr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3E2388" w:rsidRPr="00203F30" w14:paraId="048FC70A" w14:textId="77777777" w:rsidTr="00DF21D5">
        <w:tc>
          <w:tcPr>
            <w:tcW w:w="899" w:type="dxa"/>
            <w:shd w:val="clear" w:color="auto" w:fill="auto"/>
            <w:vAlign w:val="center"/>
            <w:hideMark/>
          </w:tcPr>
          <w:p w14:paraId="7E005F47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62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6F542BCA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8128" w:type="dxa"/>
            <w:shd w:val="clear" w:color="auto" w:fill="auto"/>
            <w:vAlign w:val="center"/>
            <w:hideMark/>
          </w:tcPr>
          <w:p w14:paraId="280A72BF" w14:textId="28FAD7D5" w:rsidR="00C7065E" w:rsidRPr="00203F30" w:rsidRDefault="00C7065E" w:rsidP="008E3DF0">
            <w:pPr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en"/>
              </w:rPr>
              <w:t xml:space="preserve">The sixth level, sublevel two (level 6.2), which is acquired by completing specialist </w:t>
            </w:r>
            <w:r w:rsidR="007340C5" w:rsidRPr="00203F30">
              <w:rPr>
                <w:sz w:val="22"/>
                <w:szCs w:val="22"/>
                <w:lang w:val="en"/>
              </w:rPr>
              <w:t>applied</w:t>
            </w:r>
            <w:r w:rsidRPr="00203F30">
              <w:rPr>
                <w:sz w:val="22"/>
                <w:szCs w:val="22"/>
                <w:lang w:val="en"/>
              </w:rPr>
              <w:t xml:space="preserve"> studies with at least 60 ECTS, is denoted by 6.2 S. The </w:t>
            </w:r>
            <w:r w:rsidR="00A54DDD" w:rsidRPr="00203F30">
              <w:rPr>
                <w:sz w:val="22"/>
                <w:szCs w:val="22"/>
                <w:lang w:val="en"/>
              </w:rPr>
              <w:t>requirement</w:t>
            </w:r>
            <w:r w:rsidRPr="00203F30">
              <w:rPr>
                <w:sz w:val="22"/>
                <w:szCs w:val="22"/>
                <w:lang w:val="en"/>
              </w:rPr>
              <w:t xml:space="preserve"> for acqui</w:t>
            </w:r>
            <w:r w:rsidR="00A54DDD" w:rsidRPr="00203F30">
              <w:rPr>
                <w:sz w:val="22"/>
                <w:szCs w:val="22"/>
                <w:lang w:val="en"/>
              </w:rPr>
              <w:t>sition of</w:t>
            </w:r>
            <w:r w:rsidRPr="00203F30">
              <w:rPr>
                <w:sz w:val="22"/>
                <w:szCs w:val="22"/>
                <w:lang w:val="en"/>
              </w:rPr>
              <w:t xml:space="preserve"> this level is the previous </w:t>
            </w:r>
            <w:r w:rsidR="00A26C13" w:rsidRPr="00203F30">
              <w:rPr>
                <w:sz w:val="22"/>
                <w:szCs w:val="22"/>
                <w:lang w:val="en"/>
              </w:rPr>
              <w:t xml:space="preserve">acquisition of NQFS level </w:t>
            </w:r>
            <w:r w:rsidRPr="00203F30">
              <w:rPr>
                <w:sz w:val="22"/>
                <w:szCs w:val="22"/>
                <w:lang w:val="en"/>
              </w:rPr>
              <w:t xml:space="preserve">6.1 </w:t>
            </w:r>
            <w:r w:rsidR="003408E7" w:rsidRPr="00203F30">
              <w:rPr>
                <w:sz w:val="22"/>
                <w:szCs w:val="22"/>
                <w:lang w:val="en"/>
              </w:rPr>
              <w:t xml:space="preserve">on </w:t>
            </w:r>
            <w:r w:rsidRPr="00203F30">
              <w:rPr>
                <w:sz w:val="22"/>
                <w:szCs w:val="22"/>
                <w:lang w:val="en"/>
              </w:rPr>
              <w:t xml:space="preserve">the </w:t>
            </w:r>
            <w:r w:rsidR="005F159D" w:rsidRPr="00203F30">
              <w:rPr>
                <w:sz w:val="22"/>
                <w:szCs w:val="22"/>
                <w:lang w:val="en"/>
              </w:rPr>
              <w:t>BPS</w:t>
            </w:r>
            <w:r w:rsidRPr="00203F30">
              <w:rPr>
                <w:sz w:val="22"/>
                <w:szCs w:val="22"/>
                <w:lang w:val="en"/>
              </w:rPr>
              <w:t xml:space="preserve"> </w:t>
            </w:r>
            <w:r w:rsidR="00415AB3" w:rsidRPr="00203F30">
              <w:rPr>
                <w:sz w:val="22"/>
                <w:szCs w:val="22"/>
                <w:lang w:val="en"/>
              </w:rPr>
              <w:t>of</w:t>
            </w:r>
            <w:r w:rsidRPr="00203F30">
              <w:rPr>
                <w:sz w:val="22"/>
                <w:szCs w:val="22"/>
                <w:lang w:val="en"/>
              </w:rPr>
              <w:t xml:space="preserve"> 180 ECT.</w:t>
            </w:r>
          </w:p>
          <w:p w14:paraId="0B20CE1C" w14:textId="2F467291" w:rsidR="003E2388" w:rsidRPr="00203F30" w:rsidRDefault="003E2388" w:rsidP="003149C2">
            <w:pPr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3E2388" w:rsidRPr="00203F30" w14:paraId="51C64F76" w14:textId="77777777" w:rsidTr="00DF21D5">
        <w:tc>
          <w:tcPr>
            <w:tcW w:w="899" w:type="dxa"/>
            <w:shd w:val="clear" w:color="auto" w:fill="auto"/>
            <w:vAlign w:val="center"/>
            <w:hideMark/>
          </w:tcPr>
          <w:p w14:paraId="1AD38D52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40E14F97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128" w:type="dxa"/>
            <w:shd w:val="clear" w:color="auto" w:fill="auto"/>
            <w:vAlign w:val="center"/>
            <w:hideMark/>
          </w:tcPr>
          <w:p w14:paraId="739D56B6" w14:textId="51513B64" w:rsidR="0081335C" w:rsidRPr="00203F30" w:rsidRDefault="0081335C" w:rsidP="008E3DF0">
            <w:pPr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en"/>
              </w:rPr>
              <w:t>The seventh level, sublevel one (level 7.1) of the NQFS, acquired by comple</w:t>
            </w:r>
            <w:r w:rsidR="009A73B8" w:rsidRPr="00203F30">
              <w:rPr>
                <w:sz w:val="22"/>
                <w:szCs w:val="22"/>
                <w:lang w:val="en"/>
              </w:rPr>
              <w:t>tion</w:t>
            </w:r>
            <w:r w:rsidRPr="00203F30">
              <w:rPr>
                <w:sz w:val="22"/>
                <w:szCs w:val="22"/>
                <w:lang w:val="en"/>
              </w:rPr>
              <w:t xml:space="preserve"> </w:t>
            </w:r>
            <w:r w:rsidR="00EE037C" w:rsidRPr="00203F30">
              <w:rPr>
                <w:sz w:val="22"/>
                <w:szCs w:val="22"/>
                <w:lang w:val="en"/>
              </w:rPr>
              <w:t xml:space="preserve">of </w:t>
            </w:r>
            <w:r w:rsidRPr="00203F30">
              <w:rPr>
                <w:sz w:val="22"/>
                <w:szCs w:val="22"/>
                <w:lang w:val="en"/>
              </w:rPr>
              <w:t xml:space="preserve">integrated academic studies </w:t>
            </w:r>
            <w:r w:rsidR="009A73B8" w:rsidRPr="00203F30">
              <w:rPr>
                <w:sz w:val="22"/>
                <w:szCs w:val="22"/>
                <w:lang w:val="en"/>
              </w:rPr>
              <w:t>between</w:t>
            </w:r>
            <w:r w:rsidRPr="00203F30">
              <w:rPr>
                <w:sz w:val="22"/>
                <w:szCs w:val="22"/>
                <w:lang w:val="en"/>
              </w:rPr>
              <w:t xml:space="preserve"> 300 to 360 ECTS, master academic studies (hereinafter: MAS) with at least 60 ECTS, with previously </w:t>
            </w:r>
            <w:r w:rsidR="00D25790" w:rsidRPr="00203F30">
              <w:rPr>
                <w:sz w:val="22"/>
                <w:szCs w:val="22"/>
                <w:lang w:val="en"/>
              </w:rPr>
              <w:t>completed</w:t>
            </w:r>
            <w:r w:rsidRPr="00203F30">
              <w:rPr>
                <w:sz w:val="22"/>
                <w:szCs w:val="22"/>
                <w:lang w:val="en"/>
              </w:rPr>
              <w:t xml:space="preserve"> </w:t>
            </w:r>
            <w:r w:rsidR="005F159D" w:rsidRPr="00203F30">
              <w:rPr>
                <w:sz w:val="22"/>
                <w:szCs w:val="22"/>
                <w:lang w:val="en"/>
              </w:rPr>
              <w:t>BAS</w:t>
            </w:r>
            <w:r w:rsidRPr="00203F30">
              <w:rPr>
                <w:sz w:val="22"/>
                <w:szCs w:val="22"/>
                <w:lang w:val="en"/>
              </w:rPr>
              <w:t xml:space="preserve"> of a volume of 240 ECTS, an MAS of at least 120 ECTS (with previously </w:t>
            </w:r>
            <w:r w:rsidR="00556368" w:rsidRPr="00203F30">
              <w:rPr>
                <w:sz w:val="22"/>
                <w:szCs w:val="22"/>
                <w:lang w:val="en"/>
              </w:rPr>
              <w:t>completed</w:t>
            </w:r>
            <w:r w:rsidRPr="00203F30">
              <w:rPr>
                <w:sz w:val="22"/>
                <w:szCs w:val="22"/>
                <w:lang w:val="en"/>
              </w:rPr>
              <w:t xml:space="preserve"> </w:t>
            </w:r>
            <w:r w:rsidR="005F159D" w:rsidRPr="00203F30">
              <w:rPr>
                <w:sz w:val="22"/>
                <w:szCs w:val="22"/>
                <w:lang w:val="en"/>
              </w:rPr>
              <w:t>BAS</w:t>
            </w:r>
            <w:r w:rsidRPr="00203F30">
              <w:rPr>
                <w:sz w:val="22"/>
                <w:szCs w:val="22"/>
                <w:lang w:val="en"/>
              </w:rPr>
              <w:t xml:space="preserve"> </w:t>
            </w:r>
            <w:r w:rsidR="00D25790" w:rsidRPr="00203F30">
              <w:rPr>
                <w:sz w:val="22"/>
                <w:szCs w:val="22"/>
                <w:lang w:val="en"/>
              </w:rPr>
              <w:t>of</w:t>
            </w:r>
            <w:r w:rsidRPr="00203F30">
              <w:rPr>
                <w:sz w:val="22"/>
                <w:szCs w:val="22"/>
                <w:lang w:val="en"/>
              </w:rPr>
              <w:t xml:space="preserve"> 180 ECTS), is denoted by 7.1 A. </w:t>
            </w:r>
          </w:p>
          <w:p w14:paraId="16481E33" w14:textId="7C4E2609" w:rsidR="0081335C" w:rsidRPr="00203F30" w:rsidRDefault="0081335C" w:rsidP="008E3DF0">
            <w:pPr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en"/>
              </w:rPr>
              <w:lastRenderedPageBreak/>
              <w:t xml:space="preserve">Equivalence of the seventh level, sublevel one (level 7.1) – professional title acquired by completing studies at the faculty </w:t>
            </w:r>
            <w:r w:rsidR="00826696" w:rsidRPr="00203F30">
              <w:rPr>
                <w:sz w:val="22"/>
                <w:szCs w:val="22"/>
                <w:lang w:val="en"/>
              </w:rPr>
              <w:t>in the duration</w:t>
            </w:r>
            <w:r w:rsidRPr="00203F30">
              <w:rPr>
                <w:sz w:val="22"/>
                <w:szCs w:val="22"/>
                <w:lang w:val="en"/>
              </w:rPr>
              <w:t xml:space="preserve"> of four to six years, which was equal to the academic title of master or master </w:t>
            </w:r>
            <w:r w:rsidR="00E7774F" w:rsidRPr="00203F30">
              <w:rPr>
                <w:sz w:val="22"/>
                <w:szCs w:val="22"/>
                <w:lang w:val="en"/>
              </w:rPr>
              <w:t xml:space="preserve">with </w:t>
            </w:r>
            <w:r w:rsidR="00182F19" w:rsidRPr="00203F30">
              <w:rPr>
                <w:sz w:val="22"/>
                <w:szCs w:val="22"/>
                <w:lang w:val="en"/>
              </w:rPr>
              <w:t>honors, before</w:t>
            </w:r>
            <w:r w:rsidRPr="00203F30">
              <w:rPr>
                <w:sz w:val="22"/>
                <w:szCs w:val="22"/>
                <w:lang w:val="en"/>
              </w:rPr>
              <w:t xml:space="preserve"> the </w:t>
            </w:r>
            <w:r w:rsidR="005F159D" w:rsidRPr="00203F30">
              <w:t xml:space="preserve">NQFS Law </w:t>
            </w:r>
            <w:r w:rsidR="005F159D" w:rsidRPr="00203F30">
              <w:rPr>
                <w:sz w:val="22"/>
                <w:szCs w:val="22"/>
                <w:lang w:val="sr-Cyrl-RS"/>
              </w:rPr>
              <w:t xml:space="preserve">came </w:t>
            </w:r>
            <w:r w:rsidRPr="00203F30">
              <w:rPr>
                <w:sz w:val="22"/>
                <w:szCs w:val="22"/>
                <w:lang w:val="en"/>
              </w:rPr>
              <w:t>into force in terms of the rights arising from it</w:t>
            </w:r>
            <w:r w:rsidR="00A720D6" w:rsidRPr="00203F30">
              <w:rPr>
                <w:sz w:val="22"/>
                <w:szCs w:val="22"/>
                <w:lang w:val="en"/>
              </w:rPr>
              <w:t>.</w:t>
            </w:r>
          </w:p>
          <w:p w14:paraId="756C2B4E" w14:textId="30C59076" w:rsidR="003E2388" w:rsidRPr="00203F30" w:rsidRDefault="003E2388" w:rsidP="003149C2">
            <w:pPr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 xml:space="preserve"> </w:t>
            </w:r>
          </w:p>
        </w:tc>
      </w:tr>
      <w:tr w:rsidR="003E2388" w:rsidRPr="00203F30" w14:paraId="53738D66" w14:textId="77777777" w:rsidTr="00DF21D5">
        <w:tc>
          <w:tcPr>
            <w:tcW w:w="899" w:type="dxa"/>
            <w:shd w:val="clear" w:color="auto" w:fill="auto"/>
            <w:vAlign w:val="center"/>
            <w:hideMark/>
          </w:tcPr>
          <w:p w14:paraId="3FE35316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lastRenderedPageBreak/>
              <w:t>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0EF73814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8128" w:type="dxa"/>
            <w:shd w:val="clear" w:color="auto" w:fill="auto"/>
            <w:vAlign w:val="center"/>
            <w:hideMark/>
          </w:tcPr>
          <w:p w14:paraId="65B84598" w14:textId="37BB4A45" w:rsidR="006F69FD" w:rsidRPr="00203F30" w:rsidRDefault="00233C53" w:rsidP="008E3DF0">
            <w:pPr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en"/>
              </w:rPr>
              <w:t>The seventh level, sublevel one (level 7.1) of the NQFS, acquired by completion</w:t>
            </w:r>
            <w:r w:rsidR="002B2347" w:rsidRPr="00203F30">
              <w:rPr>
                <w:sz w:val="22"/>
                <w:szCs w:val="22"/>
                <w:lang w:val="en"/>
              </w:rPr>
              <w:t xml:space="preserve"> of</w:t>
            </w:r>
            <w:r w:rsidRPr="00203F30">
              <w:rPr>
                <w:sz w:val="22"/>
                <w:szCs w:val="22"/>
                <w:lang w:val="en"/>
              </w:rPr>
              <w:t xml:space="preserve"> master </w:t>
            </w:r>
            <w:r w:rsidR="002B2347" w:rsidRPr="00203F30">
              <w:rPr>
                <w:sz w:val="22"/>
                <w:szCs w:val="22"/>
                <w:lang w:val="en"/>
              </w:rPr>
              <w:t>applied</w:t>
            </w:r>
            <w:r w:rsidRPr="00203F30">
              <w:rPr>
                <w:sz w:val="22"/>
                <w:szCs w:val="22"/>
                <w:lang w:val="en"/>
              </w:rPr>
              <w:t xml:space="preserve"> studies of at least 120 ECTS (with previously </w:t>
            </w:r>
            <w:r w:rsidR="006C661A" w:rsidRPr="00203F30">
              <w:rPr>
                <w:sz w:val="22"/>
                <w:szCs w:val="22"/>
                <w:lang w:val="en"/>
              </w:rPr>
              <w:t>complet</w:t>
            </w:r>
            <w:r w:rsidRPr="00203F30">
              <w:rPr>
                <w:sz w:val="22"/>
                <w:szCs w:val="22"/>
                <w:lang w:val="en"/>
              </w:rPr>
              <w:t xml:space="preserve">ed </w:t>
            </w:r>
            <w:r w:rsidR="005F159D" w:rsidRPr="00203F30">
              <w:rPr>
                <w:sz w:val="22"/>
                <w:szCs w:val="22"/>
                <w:lang w:val="en"/>
              </w:rPr>
              <w:t>BPS</w:t>
            </w:r>
            <w:r w:rsidRPr="00203F30">
              <w:rPr>
                <w:sz w:val="22"/>
                <w:szCs w:val="22"/>
                <w:lang w:val="en"/>
              </w:rPr>
              <w:t xml:space="preserve"> </w:t>
            </w:r>
            <w:r w:rsidR="006C661A" w:rsidRPr="00203F30">
              <w:rPr>
                <w:sz w:val="22"/>
                <w:szCs w:val="22"/>
                <w:lang w:val="en"/>
              </w:rPr>
              <w:t>of</w:t>
            </w:r>
            <w:r w:rsidRPr="00203F30">
              <w:rPr>
                <w:sz w:val="22"/>
                <w:szCs w:val="22"/>
                <w:lang w:val="en"/>
              </w:rPr>
              <w:t xml:space="preserve"> 180 ECTS), is marked with 7.1 S. Equivalence of the seventh level, sublevel one (level 7.1) – professional title acquired by completing </w:t>
            </w:r>
            <w:r w:rsidR="00694D0C" w:rsidRPr="00203F30">
              <w:rPr>
                <w:sz w:val="22"/>
                <w:szCs w:val="22"/>
                <w:lang w:val="en"/>
              </w:rPr>
              <w:t>specialized</w:t>
            </w:r>
            <w:r w:rsidRPr="00203F30">
              <w:rPr>
                <w:sz w:val="22"/>
                <w:szCs w:val="22"/>
                <w:lang w:val="en"/>
              </w:rPr>
              <w:t xml:space="preserve"> </w:t>
            </w:r>
            <w:r w:rsidR="00506B90" w:rsidRPr="00203F30">
              <w:rPr>
                <w:sz w:val="22"/>
                <w:szCs w:val="22"/>
                <w:lang w:val="en"/>
              </w:rPr>
              <w:t>applied</w:t>
            </w:r>
            <w:r w:rsidRPr="00203F30">
              <w:rPr>
                <w:sz w:val="22"/>
                <w:szCs w:val="22"/>
                <w:lang w:val="en"/>
              </w:rPr>
              <w:t xml:space="preserve"> studies of the second degree in accordance with the Law on Higher Education ("Official Gazette of the RS",  no. 76/05, 100/07 – authentic interpretation, 97/08, 44/10, 93/12, 89/13, 99/14, 45/15 – authentic interpretation, 68/15, 87/16 and 88/17 – dr. The law). </w:t>
            </w:r>
          </w:p>
          <w:p w14:paraId="3D2F1CE0" w14:textId="4A3228FE" w:rsidR="003E2388" w:rsidRPr="00203F30" w:rsidRDefault="003E2388" w:rsidP="003149C2">
            <w:pPr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3E2388" w:rsidRPr="00203F30" w14:paraId="24EE2862" w14:textId="77777777" w:rsidTr="00DF21D5">
        <w:tc>
          <w:tcPr>
            <w:tcW w:w="899" w:type="dxa"/>
            <w:shd w:val="clear" w:color="auto" w:fill="auto"/>
            <w:vAlign w:val="center"/>
            <w:hideMark/>
          </w:tcPr>
          <w:p w14:paraId="13045B99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72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293AB262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128" w:type="dxa"/>
            <w:shd w:val="clear" w:color="auto" w:fill="auto"/>
            <w:vAlign w:val="center"/>
            <w:hideMark/>
          </w:tcPr>
          <w:p w14:paraId="2917D62B" w14:textId="271D1A7A" w:rsidR="00F63629" w:rsidRPr="00203F30" w:rsidRDefault="00F63629" w:rsidP="008E3DF0">
            <w:pPr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en"/>
              </w:rPr>
              <w:t xml:space="preserve">The seventh level, sublevel two (level 7.2) of the NQFS, which is acquired by completing </w:t>
            </w:r>
            <w:r w:rsidR="00694D0C" w:rsidRPr="00203F30">
              <w:rPr>
                <w:sz w:val="22"/>
                <w:szCs w:val="22"/>
                <w:lang w:val="en"/>
              </w:rPr>
              <w:t>specialized</w:t>
            </w:r>
            <w:r w:rsidRPr="00203F30">
              <w:rPr>
                <w:sz w:val="22"/>
                <w:szCs w:val="22"/>
                <w:lang w:val="en"/>
              </w:rPr>
              <w:t xml:space="preserve"> academic studies </w:t>
            </w:r>
            <w:r w:rsidR="008C0491" w:rsidRPr="00203F30">
              <w:rPr>
                <w:sz w:val="22"/>
                <w:szCs w:val="22"/>
                <w:lang w:val="en"/>
              </w:rPr>
              <w:t>of</w:t>
            </w:r>
            <w:r w:rsidRPr="00203F30">
              <w:rPr>
                <w:sz w:val="22"/>
                <w:szCs w:val="22"/>
                <w:lang w:val="en"/>
              </w:rPr>
              <w:t xml:space="preserve"> at least 60 ECTS (with previously </w:t>
            </w:r>
            <w:r w:rsidR="002801F8" w:rsidRPr="00203F30">
              <w:rPr>
                <w:sz w:val="22"/>
                <w:szCs w:val="22"/>
                <w:lang w:val="en"/>
              </w:rPr>
              <w:t>completed</w:t>
            </w:r>
            <w:r w:rsidRPr="00203F30">
              <w:rPr>
                <w:sz w:val="22"/>
                <w:szCs w:val="22"/>
                <w:lang w:val="en"/>
              </w:rPr>
              <w:t xml:space="preserve"> master academic studies). </w:t>
            </w:r>
          </w:p>
          <w:p w14:paraId="128007E4" w14:textId="7AB3ACF8" w:rsidR="00F63629" w:rsidRPr="00203F30" w:rsidRDefault="00F63629" w:rsidP="008E3DF0">
            <w:pPr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en"/>
              </w:rPr>
              <w:t>Equivalence of the seventh level, sublevel two (level 7.2) – academic title acquired by completing speciali</w:t>
            </w:r>
            <w:r w:rsidR="00720E9B" w:rsidRPr="00203F30">
              <w:rPr>
                <w:sz w:val="22"/>
                <w:szCs w:val="22"/>
                <w:lang w:val="en"/>
              </w:rPr>
              <w:t>z</w:t>
            </w:r>
            <w:r w:rsidR="00271929" w:rsidRPr="00203F30">
              <w:rPr>
                <w:sz w:val="22"/>
                <w:szCs w:val="22"/>
                <w:lang w:val="en"/>
              </w:rPr>
              <w:t>ed</w:t>
            </w:r>
            <w:r w:rsidRPr="00203F30">
              <w:rPr>
                <w:sz w:val="22"/>
                <w:szCs w:val="22"/>
                <w:lang w:val="en"/>
              </w:rPr>
              <w:t xml:space="preserve"> studies at the faculty, which was equal to the academic title of specialist of the second degree of academic studies </w:t>
            </w:r>
            <w:r w:rsidR="003B6672" w:rsidRPr="00203F30">
              <w:rPr>
                <w:sz w:val="22"/>
                <w:szCs w:val="22"/>
                <w:lang w:val="en"/>
              </w:rPr>
              <w:t>before</w:t>
            </w:r>
            <w:r w:rsidRPr="00203F30">
              <w:rPr>
                <w:sz w:val="22"/>
                <w:szCs w:val="22"/>
                <w:lang w:val="en"/>
              </w:rPr>
              <w:t xml:space="preserve"> the </w:t>
            </w:r>
            <w:r w:rsidR="005F159D" w:rsidRPr="00203F30">
              <w:t>NQFS Law</w:t>
            </w:r>
            <w:r w:rsidR="005F159D" w:rsidRPr="00203F30">
              <w:rPr>
                <w:sz w:val="22"/>
                <w:szCs w:val="22"/>
                <w:lang w:val="en"/>
              </w:rPr>
              <w:t xml:space="preserve"> </w:t>
            </w:r>
            <w:r w:rsidR="005F159D" w:rsidRPr="00203F30">
              <w:rPr>
                <w:sz w:val="22"/>
                <w:szCs w:val="22"/>
                <w:lang w:val="sr-Cyrl-RS"/>
              </w:rPr>
              <w:t xml:space="preserve">came </w:t>
            </w:r>
            <w:r w:rsidRPr="00203F30">
              <w:rPr>
                <w:sz w:val="22"/>
                <w:szCs w:val="22"/>
                <w:lang w:val="en"/>
              </w:rPr>
              <w:t xml:space="preserve">into </w:t>
            </w:r>
            <w:r w:rsidR="00EA2500" w:rsidRPr="00203F30">
              <w:rPr>
                <w:sz w:val="22"/>
                <w:szCs w:val="22"/>
                <w:lang w:val="en"/>
              </w:rPr>
              <w:t xml:space="preserve">force </w:t>
            </w:r>
            <w:r w:rsidRPr="00203F30">
              <w:rPr>
                <w:sz w:val="22"/>
                <w:szCs w:val="22"/>
                <w:lang w:val="en"/>
              </w:rPr>
              <w:t xml:space="preserve">in terms of the rights arising from it. </w:t>
            </w:r>
          </w:p>
          <w:p w14:paraId="745D2B74" w14:textId="16BC4D27" w:rsidR="00C9369E" w:rsidRPr="00203F30" w:rsidRDefault="00F63629" w:rsidP="003149C2">
            <w:pPr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en"/>
              </w:rPr>
              <w:t xml:space="preserve">Equivalence of the seventh level, sublevel two (level 7.2) – the academic title of </w:t>
            </w:r>
            <w:r w:rsidR="003374B7" w:rsidRPr="00203F30">
              <w:rPr>
                <w:sz w:val="22"/>
                <w:szCs w:val="22"/>
                <w:lang w:val="en"/>
              </w:rPr>
              <w:t xml:space="preserve">magister </w:t>
            </w:r>
            <w:r w:rsidRPr="00203F30">
              <w:rPr>
                <w:sz w:val="22"/>
                <w:szCs w:val="22"/>
                <w:lang w:val="en"/>
              </w:rPr>
              <w:t xml:space="preserve">of </w:t>
            </w:r>
            <w:r w:rsidR="003374B7" w:rsidRPr="00203F30">
              <w:rPr>
                <w:sz w:val="22"/>
                <w:szCs w:val="22"/>
                <w:lang w:val="en"/>
              </w:rPr>
              <w:t xml:space="preserve">science </w:t>
            </w:r>
            <w:r w:rsidRPr="00203F30">
              <w:rPr>
                <w:sz w:val="22"/>
                <w:szCs w:val="22"/>
                <w:lang w:val="en"/>
              </w:rPr>
              <w:t xml:space="preserve">acquired by </w:t>
            </w:r>
            <w:r w:rsidR="00127326" w:rsidRPr="00203F30">
              <w:rPr>
                <w:sz w:val="22"/>
                <w:szCs w:val="22"/>
                <w:lang w:val="en"/>
              </w:rPr>
              <w:t xml:space="preserve">the </w:t>
            </w:r>
            <w:r w:rsidRPr="00203F30">
              <w:rPr>
                <w:sz w:val="22"/>
                <w:szCs w:val="22"/>
                <w:lang w:val="en"/>
              </w:rPr>
              <w:t>completi</w:t>
            </w:r>
            <w:r w:rsidR="00127326" w:rsidRPr="00203F30">
              <w:rPr>
                <w:sz w:val="22"/>
                <w:szCs w:val="22"/>
                <w:lang w:val="en"/>
              </w:rPr>
              <w:t>on of</w:t>
            </w:r>
            <w:r w:rsidRPr="00203F30">
              <w:rPr>
                <w:sz w:val="22"/>
                <w:szCs w:val="22"/>
                <w:lang w:val="en"/>
              </w:rPr>
              <w:t xml:space="preserve"> ma</w:t>
            </w:r>
            <w:r w:rsidR="00127326" w:rsidRPr="00203F30">
              <w:rPr>
                <w:sz w:val="22"/>
                <w:szCs w:val="22"/>
                <w:lang w:val="en"/>
              </w:rPr>
              <w:t>gi</w:t>
            </w:r>
            <w:r w:rsidRPr="00203F30">
              <w:rPr>
                <w:sz w:val="22"/>
                <w:szCs w:val="22"/>
                <w:lang w:val="en"/>
              </w:rPr>
              <w:t xml:space="preserve">ster studies, i.e. defending the master's thesis, which was equated with the scientific title of </w:t>
            </w:r>
            <w:r w:rsidR="00097A05" w:rsidRPr="00203F30">
              <w:rPr>
                <w:sz w:val="22"/>
                <w:szCs w:val="22"/>
                <w:lang w:val="en"/>
              </w:rPr>
              <w:t>m</w:t>
            </w:r>
            <w:r w:rsidRPr="00203F30">
              <w:rPr>
                <w:sz w:val="22"/>
                <w:szCs w:val="22"/>
                <w:lang w:val="en"/>
              </w:rPr>
              <w:t>a</w:t>
            </w:r>
            <w:r w:rsidR="002E5C47" w:rsidRPr="00203F30">
              <w:rPr>
                <w:sz w:val="22"/>
                <w:szCs w:val="22"/>
                <w:lang w:val="en"/>
              </w:rPr>
              <w:t>gi</w:t>
            </w:r>
            <w:r w:rsidRPr="00203F30">
              <w:rPr>
                <w:sz w:val="22"/>
                <w:szCs w:val="22"/>
                <w:lang w:val="en"/>
              </w:rPr>
              <w:t xml:space="preserve">ster of </w:t>
            </w:r>
            <w:r w:rsidR="002E5C47" w:rsidRPr="00203F30">
              <w:rPr>
                <w:sz w:val="22"/>
                <w:szCs w:val="22"/>
                <w:lang w:val="en"/>
              </w:rPr>
              <w:t>science before</w:t>
            </w:r>
            <w:r w:rsidRPr="00203F30">
              <w:rPr>
                <w:sz w:val="22"/>
                <w:szCs w:val="22"/>
                <w:lang w:val="en"/>
              </w:rPr>
              <w:t xml:space="preserve"> the </w:t>
            </w:r>
            <w:r w:rsidR="005F159D" w:rsidRPr="00203F30">
              <w:t>NQFS Law</w:t>
            </w:r>
            <w:r w:rsidR="005F159D" w:rsidRPr="00203F30">
              <w:rPr>
                <w:sz w:val="22"/>
                <w:szCs w:val="22"/>
                <w:lang w:val="en"/>
              </w:rPr>
              <w:t xml:space="preserve"> </w:t>
            </w:r>
            <w:r w:rsidR="005F159D" w:rsidRPr="00203F30">
              <w:rPr>
                <w:sz w:val="22"/>
                <w:szCs w:val="22"/>
                <w:lang w:val="sr-Cyrl-RS"/>
              </w:rPr>
              <w:t xml:space="preserve">came </w:t>
            </w:r>
            <w:r w:rsidRPr="00203F30">
              <w:rPr>
                <w:sz w:val="22"/>
                <w:szCs w:val="22"/>
                <w:lang w:val="en"/>
              </w:rPr>
              <w:t xml:space="preserve">into force in terms of the rights arising from it. </w:t>
            </w:r>
          </w:p>
          <w:p w14:paraId="34791A2E" w14:textId="6F13E316" w:rsidR="003E2388" w:rsidRPr="00203F30" w:rsidRDefault="003E2388" w:rsidP="003149C2">
            <w:pPr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 xml:space="preserve"> </w:t>
            </w:r>
          </w:p>
        </w:tc>
      </w:tr>
      <w:tr w:rsidR="003E2388" w:rsidRPr="00203F30" w14:paraId="72D1F6BC" w14:textId="77777777" w:rsidTr="00DF21D5">
        <w:tc>
          <w:tcPr>
            <w:tcW w:w="899" w:type="dxa"/>
            <w:shd w:val="clear" w:color="auto" w:fill="auto"/>
            <w:vAlign w:val="center"/>
            <w:hideMark/>
          </w:tcPr>
          <w:p w14:paraId="5F9010FD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34E8AE80" w14:textId="77777777" w:rsidR="003E2388" w:rsidRPr="00203F30" w:rsidRDefault="003E2388" w:rsidP="003149C2">
            <w:pPr>
              <w:jc w:val="center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128" w:type="dxa"/>
            <w:shd w:val="clear" w:color="auto" w:fill="auto"/>
            <w:vAlign w:val="center"/>
            <w:hideMark/>
          </w:tcPr>
          <w:p w14:paraId="20077800" w14:textId="263068D7" w:rsidR="00184649" w:rsidRPr="00203F30" w:rsidRDefault="00184649" w:rsidP="008E3DF0">
            <w:pPr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en"/>
              </w:rPr>
              <w:t>The eighth level (level 8) of the N</w:t>
            </w:r>
            <w:r w:rsidR="00881390" w:rsidRPr="00203F30">
              <w:rPr>
                <w:sz w:val="22"/>
                <w:szCs w:val="22"/>
                <w:lang w:val="en"/>
              </w:rPr>
              <w:t>QFS</w:t>
            </w:r>
            <w:r w:rsidRPr="00203F30">
              <w:rPr>
                <w:sz w:val="22"/>
                <w:szCs w:val="22"/>
                <w:lang w:val="en"/>
              </w:rPr>
              <w:t xml:space="preserve">, which is acquired by </w:t>
            </w:r>
            <w:r w:rsidR="00881390" w:rsidRPr="00203F30">
              <w:rPr>
                <w:sz w:val="22"/>
                <w:szCs w:val="22"/>
                <w:lang w:val="en"/>
              </w:rPr>
              <w:t xml:space="preserve">the </w:t>
            </w:r>
            <w:r w:rsidRPr="00203F30">
              <w:rPr>
                <w:sz w:val="22"/>
                <w:szCs w:val="22"/>
                <w:lang w:val="en"/>
              </w:rPr>
              <w:t>completi</w:t>
            </w:r>
            <w:r w:rsidR="00881390" w:rsidRPr="00203F30">
              <w:rPr>
                <w:sz w:val="22"/>
                <w:szCs w:val="22"/>
                <w:lang w:val="en"/>
              </w:rPr>
              <w:t>o</w:t>
            </w:r>
            <w:r w:rsidRPr="00203F30">
              <w:rPr>
                <w:sz w:val="22"/>
                <w:szCs w:val="22"/>
                <w:lang w:val="en"/>
              </w:rPr>
              <w:t>n</w:t>
            </w:r>
            <w:r w:rsidR="00881390" w:rsidRPr="00203F30">
              <w:rPr>
                <w:sz w:val="22"/>
                <w:szCs w:val="22"/>
                <w:lang w:val="en"/>
              </w:rPr>
              <w:t xml:space="preserve"> </w:t>
            </w:r>
            <w:r w:rsidR="0035596F" w:rsidRPr="00203F30">
              <w:rPr>
                <w:sz w:val="22"/>
                <w:szCs w:val="22"/>
                <w:lang w:val="en"/>
              </w:rPr>
              <w:t>of doctoral</w:t>
            </w:r>
            <w:r w:rsidRPr="00203F30">
              <w:rPr>
                <w:sz w:val="22"/>
                <w:szCs w:val="22"/>
                <w:lang w:val="en"/>
              </w:rPr>
              <w:t xml:space="preserve"> studies of 180 ECTS</w:t>
            </w:r>
            <w:r w:rsidR="00EA2ED9" w:rsidRPr="00203F30">
              <w:rPr>
                <w:sz w:val="22"/>
                <w:szCs w:val="22"/>
                <w:lang w:val="en"/>
              </w:rPr>
              <w:t xml:space="preserve"> </w:t>
            </w:r>
            <w:r w:rsidRPr="00203F30">
              <w:rPr>
                <w:sz w:val="22"/>
                <w:szCs w:val="22"/>
                <w:lang w:val="en"/>
              </w:rPr>
              <w:t xml:space="preserve">(with previously completed integrated academic </w:t>
            </w:r>
            <w:r w:rsidR="00492283" w:rsidRPr="00203F30">
              <w:rPr>
                <w:sz w:val="22"/>
                <w:szCs w:val="22"/>
                <w:lang w:val="en"/>
              </w:rPr>
              <w:t>i.e.</w:t>
            </w:r>
            <w:r w:rsidRPr="00203F30">
              <w:rPr>
                <w:sz w:val="22"/>
                <w:szCs w:val="22"/>
                <w:lang w:val="en"/>
              </w:rPr>
              <w:t xml:space="preserve"> master academic studies).</w:t>
            </w:r>
          </w:p>
          <w:p w14:paraId="739970C2" w14:textId="21AE9A4B" w:rsidR="00184649" w:rsidRPr="00203F30" w:rsidRDefault="00184649" w:rsidP="008E3DF0">
            <w:pPr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203F30">
              <w:rPr>
                <w:sz w:val="22"/>
                <w:szCs w:val="22"/>
                <w:lang w:val="en"/>
              </w:rPr>
              <w:t xml:space="preserve">Equivalence of the eighth level (level 8) – scientific </w:t>
            </w:r>
            <w:r w:rsidR="0008090A" w:rsidRPr="00203F30">
              <w:rPr>
                <w:sz w:val="22"/>
                <w:szCs w:val="22"/>
                <w:lang w:val="en"/>
              </w:rPr>
              <w:t>level</w:t>
            </w:r>
            <w:r w:rsidRPr="00203F30">
              <w:rPr>
                <w:sz w:val="22"/>
                <w:szCs w:val="22"/>
                <w:lang w:val="en"/>
              </w:rPr>
              <w:t xml:space="preserve"> of </w:t>
            </w:r>
            <w:r w:rsidR="0008090A" w:rsidRPr="00203F30">
              <w:rPr>
                <w:sz w:val="22"/>
                <w:szCs w:val="22"/>
                <w:lang w:val="en"/>
              </w:rPr>
              <w:t>PhD</w:t>
            </w:r>
            <w:r w:rsidRPr="00203F30">
              <w:rPr>
                <w:sz w:val="22"/>
                <w:szCs w:val="22"/>
                <w:lang w:val="en"/>
              </w:rPr>
              <w:t xml:space="preserve"> acquired by completing doctoral studies, i.e. </w:t>
            </w:r>
            <w:r w:rsidR="00A352A9" w:rsidRPr="00203F30">
              <w:rPr>
                <w:sz w:val="22"/>
                <w:szCs w:val="22"/>
                <w:lang w:val="en"/>
              </w:rPr>
              <w:t xml:space="preserve">by </w:t>
            </w:r>
            <w:r w:rsidRPr="00203F30">
              <w:rPr>
                <w:sz w:val="22"/>
                <w:szCs w:val="22"/>
                <w:lang w:val="en"/>
              </w:rPr>
              <w:t xml:space="preserve">defending the doctoral dissertation, which was equal to the scientific title of Doctor of Sciences </w:t>
            </w:r>
            <w:r w:rsidR="00A352A9" w:rsidRPr="00203F30">
              <w:rPr>
                <w:sz w:val="22"/>
                <w:szCs w:val="22"/>
                <w:lang w:val="en"/>
              </w:rPr>
              <w:t>before</w:t>
            </w:r>
            <w:r w:rsidRPr="00203F30">
              <w:rPr>
                <w:sz w:val="22"/>
                <w:szCs w:val="22"/>
                <w:lang w:val="en"/>
              </w:rPr>
              <w:t xml:space="preserve"> the </w:t>
            </w:r>
            <w:r w:rsidR="005F159D" w:rsidRPr="00203F30">
              <w:t>NQFS Law</w:t>
            </w:r>
            <w:r w:rsidR="005F159D" w:rsidRPr="00203F30">
              <w:rPr>
                <w:sz w:val="22"/>
                <w:szCs w:val="22"/>
                <w:lang w:val="en"/>
              </w:rPr>
              <w:t xml:space="preserve"> </w:t>
            </w:r>
            <w:r w:rsidR="005F159D" w:rsidRPr="00203F30">
              <w:rPr>
                <w:sz w:val="22"/>
                <w:szCs w:val="22"/>
                <w:lang w:val="sr-Cyrl-RS"/>
              </w:rPr>
              <w:t xml:space="preserve">came </w:t>
            </w:r>
            <w:r w:rsidRPr="00203F30">
              <w:rPr>
                <w:sz w:val="22"/>
                <w:szCs w:val="22"/>
                <w:lang w:val="en"/>
              </w:rPr>
              <w:t xml:space="preserve">into force in terms of the rights arising from it. </w:t>
            </w:r>
          </w:p>
          <w:p w14:paraId="59F6F997" w14:textId="6E46DF14" w:rsidR="003E2388" w:rsidRPr="00203F30" w:rsidRDefault="003E2388" w:rsidP="003149C2">
            <w:pPr>
              <w:jc w:val="both"/>
              <w:rPr>
                <w:sz w:val="22"/>
                <w:szCs w:val="22"/>
                <w:lang w:val="sr-Cyrl-RS"/>
              </w:rPr>
            </w:pPr>
          </w:p>
        </w:tc>
      </w:tr>
    </w:tbl>
    <w:p w14:paraId="7BF3852D" w14:textId="0480AEFD" w:rsidR="003E2388" w:rsidRPr="00203F30" w:rsidRDefault="00F158C9" w:rsidP="003E2388">
      <w:pPr>
        <w:jc w:val="both"/>
        <w:rPr>
          <w:sz w:val="22"/>
          <w:szCs w:val="22"/>
          <w:lang w:val="sr-Cyrl-RS"/>
        </w:rPr>
      </w:pPr>
      <w:r w:rsidRPr="00203F30">
        <w:rPr>
          <w:b/>
          <w:sz w:val="22"/>
          <w:szCs w:val="22"/>
          <w:lang w:val="sr-Cyrl-RS"/>
        </w:rPr>
        <w:t>Types of qualifications</w:t>
      </w:r>
      <w:r w:rsidR="003E2388" w:rsidRPr="00203F30">
        <w:rPr>
          <w:sz w:val="22"/>
          <w:szCs w:val="22"/>
          <w:lang w:val="sr-Cyrl-RS"/>
        </w:rPr>
        <w:t xml:space="preserve">: </w:t>
      </w:r>
    </w:p>
    <w:p w14:paraId="48490B5B" w14:textId="2D492B07" w:rsidR="003E2388" w:rsidRPr="00203F30" w:rsidRDefault="003E2388" w:rsidP="003E2388">
      <w:pPr>
        <w:jc w:val="both"/>
        <w:rPr>
          <w:sz w:val="22"/>
          <w:szCs w:val="22"/>
          <w:lang w:val="sr-Cyrl-RS"/>
        </w:rPr>
      </w:pPr>
      <w:r w:rsidRPr="00203F30">
        <w:rPr>
          <w:sz w:val="22"/>
          <w:szCs w:val="22"/>
          <w:lang w:val="sr-Cyrl-RS"/>
        </w:rPr>
        <w:t xml:space="preserve">0 – </w:t>
      </w:r>
      <w:r w:rsidR="008A099F" w:rsidRPr="00203F30">
        <w:rPr>
          <w:sz w:val="22"/>
          <w:szCs w:val="22"/>
          <w:lang w:val="sr-Cyrl-RS"/>
        </w:rPr>
        <w:t>without qualification</w:t>
      </w:r>
      <w:r w:rsidRPr="00203F30">
        <w:rPr>
          <w:sz w:val="22"/>
          <w:szCs w:val="22"/>
          <w:lang w:val="sr-Cyrl-RS"/>
        </w:rPr>
        <w:t xml:space="preserve">, </w:t>
      </w:r>
    </w:p>
    <w:p w14:paraId="35456D36" w14:textId="27884AAA" w:rsidR="003E2388" w:rsidRPr="00203F30" w:rsidRDefault="003E2388" w:rsidP="003E2388">
      <w:pPr>
        <w:jc w:val="both"/>
        <w:rPr>
          <w:sz w:val="22"/>
          <w:szCs w:val="22"/>
          <w:lang w:val="sr-Cyrl-RS"/>
        </w:rPr>
      </w:pPr>
      <w:r w:rsidRPr="00203F30">
        <w:rPr>
          <w:sz w:val="22"/>
          <w:szCs w:val="22"/>
          <w:lang w:val="sr-Cyrl-RS"/>
        </w:rPr>
        <w:t xml:space="preserve">1 – </w:t>
      </w:r>
      <w:r w:rsidR="00F25CE5" w:rsidRPr="00203F30">
        <w:rPr>
          <w:sz w:val="22"/>
          <w:szCs w:val="22"/>
          <w:lang w:val="sr-Cyrl-RS"/>
        </w:rPr>
        <w:t>genera</w:t>
      </w:r>
      <w:r w:rsidR="00F25CE5" w:rsidRPr="00203F30">
        <w:t>l</w:t>
      </w:r>
      <w:r w:rsidRPr="00203F30">
        <w:rPr>
          <w:sz w:val="22"/>
          <w:szCs w:val="22"/>
          <w:lang w:val="sr-Cyrl-RS"/>
        </w:rPr>
        <w:t xml:space="preserve">, </w:t>
      </w:r>
    </w:p>
    <w:p w14:paraId="437B9193" w14:textId="57F8644A" w:rsidR="003E2388" w:rsidRPr="00203F30" w:rsidRDefault="003E2388" w:rsidP="003E2388">
      <w:pPr>
        <w:jc w:val="both"/>
        <w:rPr>
          <w:sz w:val="22"/>
          <w:szCs w:val="22"/>
          <w:lang w:val="sr-Cyrl-RS"/>
        </w:rPr>
      </w:pPr>
      <w:r w:rsidRPr="00203F30">
        <w:rPr>
          <w:sz w:val="22"/>
          <w:szCs w:val="22"/>
          <w:lang w:val="sr-Cyrl-RS"/>
        </w:rPr>
        <w:t xml:space="preserve">2 – </w:t>
      </w:r>
      <w:r w:rsidR="00315577" w:rsidRPr="00203F30">
        <w:t>vocational</w:t>
      </w:r>
      <w:r w:rsidRPr="00203F30">
        <w:rPr>
          <w:sz w:val="22"/>
          <w:szCs w:val="22"/>
          <w:lang w:val="sr-Cyrl-RS"/>
        </w:rPr>
        <w:t xml:space="preserve">, </w:t>
      </w:r>
    </w:p>
    <w:p w14:paraId="768C8FE3" w14:textId="337385A2" w:rsidR="003E2388" w:rsidRPr="00203F30" w:rsidRDefault="003E2388" w:rsidP="003E2388">
      <w:pPr>
        <w:jc w:val="both"/>
        <w:rPr>
          <w:sz w:val="22"/>
          <w:szCs w:val="22"/>
          <w:lang w:val="sr-Latn-RS"/>
        </w:rPr>
      </w:pPr>
      <w:r w:rsidRPr="00203F30">
        <w:rPr>
          <w:sz w:val="22"/>
          <w:szCs w:val="22"/>
          <w:lang w:val="sr-Cyrl-RS"/>
        </w:rPr>
        <w:t xml:space="preserve">3 – </w:t>
      </w:r>
      <w:r w:rsidR="00264DD8" w:rsidRPr="00203F30">
        <w:rPr>
          <w:sz w:val="22"/>
          <w:szCs w:val="22"/>
          <w:lang w:val="sr-Cyrl-RS"/>
        </w:rPr>
        <w:t>academic</w:t>
      </w:r>
      <w:r w:rsidRPr="00203F30">
        <w:rPr>
          <w:sz w:val="22"/>
          <w:szCs w:val="22"/>
          <w:lang w:val="sr-Cyrl-RS"/>
        </w:rPr>
        <w:t>,</w:t>
      </w:r>
      <w:r w:rsidRPr="00203F30">
        <w:rPr>
          <w:sz w:val="22"/>
          <w:szCs w:val="22"/>
          <w:lang w:val="sr-Latn-RS"/>
        </w:rPr>
        <w:t xml:space="preserve"> </w:t>
      </w:r>
    </w:p>
    <w:p w14:paraId="0978EF5B" w14:textId="27B87339" w:rsidR="004C6BAB" w:rsidRPr="00203F30" w:rsidRDefault="003E2388" w:rsidP="003E2388">
      <w:pPr>
        <w:jc w:val="both"/>
        <w:rPr>
          <w:sz w:val="22"/>
          <w:szCs w:val="22"/>
          <w:lang w:val="sr-Cyrl-RS"/>
        </w:rPr>
      </w:pPr>
      <w:r w:rsidRPr="00203F30">
        <w:rPr>
          <w:sz w:val="22"/>
          <w:szCs w:val="22"/>
          <w:lang w:val="sr-Cyrl-RS"/>
        </w:rPr>
        <w:t xml:space="preserve">4 </w:t>
      </w:r>
      <w:r w:rsidRPr="00203F30">
        <w:rPr>
          <w:sz w:val="22"/>
          <w:szCs w:val="22"/>
          <w:lang w:val="ru-RU"/>
        </w:rPr>
        <w:t xml:space="preserve">– </w:t>
      </w:r>
      <w:r w:rsidR="005221A1" w:rsidRPr="00203F30">
        <w:rPr>
          <w:sz w:val="22"/>
          <w:szCs w:val="22"/>
          <w:lang w:val="sr-Cyrl-RS"/>
        </w:rPr>
        <w:t>applied</w:t>
      </w:r>
      <w:r w:rsidRPr="00203F30">
        <w:rPr>
          <w:sz w:val="22"/>
          <w:szCs w:val="22"/>
          <w:lang w:val="sr-Cyrl-RS"/>
        </w:rPr>
        <w:t>.</w:t>
      </w:r>
    </w:p>
    <w:p w14:paraId="6A29161D" w14:textId="6F5A80D4" w:rsidR="00977146" w:rsidRDefault="00977146" w:rsidP="003E2388">
      <w:pPr>
        <w:jc w:val="both"/>
        <w:rPr>
          <w:sz w:val="22"/>
          <w:szCs w:val="22"/>
          <w:lang w:val="sr-Cyrl-RS"/>
        </w:rPr>
      </w:pPr>
    </w:p>
    <w:p w14:paraId="7E0D39D3" w14:textId="77777777" w:rsidR="00426EAB" w:rsidRDefault="00426EAB" w:rsidP="003E2388">
      <w:pPr>
        <w:jc w:val="both"/>
        <w:rPr>
          <w:sz w:val="22"/>
          <w:szCs w:val="22"/>
          <w:lang w:val="sr-Cyrl-RS"/>
        </w:rPr>
      </w:pPr>
    </w:p>
    <w:p w14:paraId="7D86A6BB" w14:textId="5E0FF7E5" w:rsidR="00B61992" w:rsidRPr="00B61992" w:rsidRDefault="00B61992" w:rsidP="003E2388">
      <w:pPr>
        <w:jc w:val="both"/>
        <w:rPr>
          <w:b/>
          <w:bCs/>
          <w:sz w:val="22"/>
          <w:szCs w:val="22"/>
          <w:lang w:val="sr-Latn-RS"/>
        </w:rPr>
      </w:pPr>
      <w:r w:rsidRPr="00B61992">
        <w:rPr>
          <w:b/>
          <w:bCs/>
          <w:sz w:val="22"/>
          <w:szCs w:val="22"/>
          <w:lang w:val="sr-Latn-RS"/>
        </w:rPr>
        <w:t xml:space="preserve">List of abbreviations </w:t>
      </w:r>
    </w:p>
    <w:p w14:paraId="1C17CD12" w14:textId="6B858D32" w:rsidR="00977146" w:rsidRPr="00203F30" w:rsidRDefault="00977146" w:rsidP="003E2388">
      <w:pPr>
        <w:jc w:val="both"/>
      </w:pPr>
      <w:r w:rsidRPr="00203F30">
        <w:t>BAS - bachelor academic studies</w:t>
      </w:r>
    </w:p>
    <w:p w14:paraId="0FA1931E" w14:textId="41E20010" w:rsidR="00977146" w:rsidRPr="00203F30" w:rsidRDefault="004F5D74" w:rsidP="003E2388">
      <w:pPr>
        <w:jc w:val="both"/>
      </w:pPr>
      <w:r w:rsidRPr="00203F30">
        <w:t xml:space="preserve">BPS - </w:t>
      </w:r>
      <w:r w:rsidR="00DF7CA6" w:rsidRPr="00203F30">
        <w:t>bachelor applied studies</w:t>
      </w:r>
    </w:p>
    <w:p w14:paraId="55AF01AD" w14:textId="0B4C2CCA" w:rsidR="00DC36B7" w:rsidRPr="00203F30" w:rsidRDefault="00DC36B7" w:rsidP="003E2388">
      <w:pPr>
        <w:jc w:val="both"/>
      </w:pPr>
      <w:r w:rsidRPr="00203F30">
        <w:t>MAS - master academic studies</w:t>
      </w:r>
    </w:p>
    <w:p w14:paraId="045EEC3F" w14:textId="191AE3C1" w:rsidR="00DC36B7" w:rsidRDefault="005F159D" w:rsidP="003E2388">
      <w:pPr>
        <w:jc w:val="both"/>
      </w:pPr>
      <w:r w:rsidRPr="00203F30">
        <w:t>MPS - master applied studies</w:t>
      </w:r>
    </w:p>
    <w:sectPr w:rsidR="00DC36B7" w:rsidSect="00DF21D5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88"/>
    <w:rsid w:val="000012CC"/>
    <w:rsid w:val="000169FA"/>
    <w:rsid w:val="000227F1"/>
    <w:rsid w:val="0002409A"/>
    <w:rsid w:val="00035F24"/>
    <w:rsid w:val="00044715"/>
    <w:rsid w:val="000512B1"/>
    <w:rsid w:val="0008090A"/>
    <w:rsid w:val="00097A05"/>
    <w:rsid w:val="000C36C4"/>
    <w:rsid w:val="00110268"/>
    <w:rsid w:val="00115527"/>
    <w:rsid w:val="00127326"/>
    <w:rsid w:val="00182F19"/>
    <w:rsid w:val="00184649"/>
    <w:rsid w:val="001A5638"/>
    <w:rsid w:val="001B5056"/>
    <w:rsid w:val="001C2D46"/>
    <w:rsid w:val="00203F30"/>
    <w:rsid w:val="00233C53"/>
    <w:rsid w:val="002365CE"/>
    <w:rsid w:val="00250400"/>
    <w:rsid w:val="00263B1D"/>
    <w:rsid w:val="00264DD8"/>
    <w:rsid w:val="00271929"/>
    <w:rsid w:val="00277365"/>
    <w:rsid w:val="002773ED"/>
    <w:rsid w:val="002801F8"/>
    <w:rsid w:val="002B2347"/>
    <w:rsid w:val="002E5C47"/>
    <w:rsid w:val="003133AC"/>
    <w:rsid w:val="00315577"/>
    <w:rsid w:val="003319C5"/>
    <w:rsid w:val="003374B7"/>
    <w:rsid w:val="003408E7"/>
    <w:rsid w:val="00351C99"/>
    <w:rsid w:val="0035596F"/>
    <w:rsid w:val="003637F9"/>
    <w:rsid w:val="003829B4"/>
    <w:rsid w:val="003B0E32"/>
    <w:rsid w:val="003B6672"/>
    <w:rsid w:val="003E2388"/>
    <w:rsid w:val="003F328D"/>
    <w:rsid w:val="00401E85"/>
    <w:rsid w:val="00415AB3"/>
    <w:rsid w:val="00426EAB"/>
    <w:rsid w:val="00450DE7"/>
    <w:rsid w:val="00492283"/>
    <w:rsid w:val="004A7225"/>
    <w:rsid w:val="004B712D"/>
    <w:rsid w:val="004C6BAB"/>
    <w:rsid w:val="004E6487"/>
    <w:rsid w:val="004F469A"/>
    <w:rsid w:val="004F5D74"/>
    <w:rsid w:val="004F60F9"/>
    <w:rsid w:val="004F659F"/>
    <w:rsid w:val="0050585E"/>
    <w:rsid w:val="00506B90"/>
    <w:rsid w:val="005221A1"/>
    <w:rsid w:val="00522BB0"/>
    <w:rsid w:val="00556368"/>
    <w:rsid w:val="00560D0D"/>
    <w:rsid w:val="00570FB4"/>
    <w:rsid w:val="00594C0E"/>
    <w:rsid w:val="005C7B0D"/>
    <w:rsid w:val="005F159D"/>
    <w:rsid w:val="006057B0"/>
    <w:rsid w:val="00606FA3"/>
    <w:rsid w:val="0064566B"/>
    <w:rsid w:val="0066604F"/>
    <w:rsid w:val="00694D0C"/>
    <w:rsid w:val="00697855"/>
    <w:rsid w:val="006A05DD"/>
    <w:rsid w:val="006A2BAC"/>
    <w:rsid w:val="006B7B6A"/>
    <w:rsid w:val="006C60B3"/>
    <w:rsid w:val="006C661A"/>
    <w:rsid w:val="006D2D17"/>
    <w:rsid w:val="006E7AF5"/>
    <w:rsid w:val="006F69FD"/>
    <w:rsid w:val="006F7714"/>
    <w:rsid w:val="00720E9B"/>
    <w:rsid w:val="007340C5"/>
    <w:rsid w:val="0074645E"/>
    <w:rsid w:val="00773E7F"/>
    <w:rsid w:val="00780F93"/>
    <w:rsid w:val="00792627"/>
    <w:rsid w:val="007C0B55"/>
    <w:rsid w:val="007C3BE2"/>
    <w:rsid w:val="007C454B"/>
    <w:rsid w:val="007D3F11"/>
    <w:rsid w:val="0081335C"/>
    <w:rsid w:val="00821E66"/>
    <w:rsid w:val="00826696"/>
    <w:rsid w:val="00834430"/>
    <w:rsid w:val="00842968"/>
    <w:rsid w:val="00850589"/>
    <w:rsid w:val="008734BF"/>
    <w:rsid w:val="00881390"/>
    <w:rsid w:val="008A099F"/>
    <w:rsid w:val="008B069E"/>
    <w:rsid w:val="008B2A44"/>
    <w:rsid w:val="008C0491"/>
    <w:rsid w:val="008C2AB5"/>
    <w:rsid w:val="008C4DCF"/>
    <w:rsid w:val="008E3DF0"/>
    <w:rsid w:val="008F76F0"/>
    <w:rsid w:val="00915434"/>
    <w:rsid w:val="00953721"/>
    <w:rsid w:val="00960A82"/>
    <w:rsid w:val="009734AB"/>
    <w:rsid w:val="009742C2"/>
    <w:rsid w:val="00977146"/>
    <w:rsid w:val="009A2F47"/>
    <w:rsid w:val="009A73B8"/>
    <w:rsid w:val="009C13B5"/>
    <w:rsid w:val="009F1D66"/>
    <w:rsid w:val="00A01266"/>
    <w:rsid w:val="00A26C13"/>
    <w:rsid w:val="00A31FD5"/>
    <w:rsid w:val="00A34BCC"/>
    <w:rsid w:val="00A352A9"/>
    <w:rsid w:val="00A54DDD"/>
    <w:rsid w:val="00A55DF5"/>
    <w:rsid w:val="00A720D6"/>
    <w:rsid w:val="00A73FC2"/>
    <w:rsid w:val="00AB1C2E"/>
    <w:rsid w:val="00AB2AA2"/>
    <w:rsid w:val="00AF6C99"/>
    <w:rsid w:val="00B06D9E"/>
    <w:rsid w:val="00B076AF"/>
    <w:rsid w:val="00B12FA7"/>
    <w:rsid w:val="00B1470F"/>
    <w:rsid w:val="00B435C0"/>
    <w:rsid w:val="00B52D35"/>
    <w:rsid w:val="00B618F9"/>
    <w:rsid w:val="00B61992"/>
    <w:rsid w:val="00B97F93"/>
    <w:rsid w:val="00BD1F49"/>
    <w:rsid w:val="00BE4933"/>
    <w:rsid w:val="00C17A41"/>
    <w:rsid w:val="00C22B11"/>
    <w:rsid w:val="00C32939"/>
    <w:rsid w:val="00C34B9B"/>
    <w:rsid w:val="00C57428"/>
    <w:rsid w:val="00C639A2"/>
    <w:rsid w:val="00C6419D"/>
    <w:rsid w:val="00C7065E"/>
    <w:rsid w:val="00C77349"/>
    <w:rsid w:val="00C922DF"/>
    <w:rsid w:val="00C92735"/>
    <w:rsid w:val="00C9369E"/>
    <w:rsid w:val="00C97879"/>
    <w:rsid w:val="00CC0337"/>
    <w:rsid w:val="00CF2262"/>
    <w:rsid w:val="00D201C3"/>
    <w:rsid w:val="00D25790"/>
    <w:rsid w:val="00D626FB"/>
    <w:rsid w:val="00DC36B7"/>
    <w:rsid w:val="00DD588C"/>
    <w:rsid w:val="00DF21D5"/>
    <w:rsid w:val="00DF309E"/>
    <w:rsid w:val="00DF7CA6"/>
    <w:rsid w:val="00E3598D"/>
    <w:rsid w:val="00E377CA"/>
    <w:rsid w:val="00E7222D"/>
    <w:rsid w:val="00E76EA7"/>
    <w:rsid w:val="00E7774F"/>
    <w:rsid w:val="00EA2500"/>
    <w:rsid w:val="00EA2ED9"/>
    <w:rsid w:val="00EA5303"/>
    <w:rsid w:val="00EA6E6E"/>
    <w:rsid w:val="00EB263E"/>
    <w:rsid w:val="00EC7F1E"/>
    <w:rsid w:val="00EE037C"/>
    <w:rsid w:val="00EF394A"/>
    <w:rsid w:val="00F158C9"/>
    <w:rsid w:val="00F16A2A"/>
    <w:rsid w:val="00F25CE5"/>
    <w:rsid w:val="00F35012"/>
    <w:rsid w:val="00F53F55"/>
    <w:rsid w:val="00F63629"/>
    <w:rsid w:val="00F65732"/>
    <w:rsid w:val="00F65B60"/>
    <w:rsid w:val="00F76FBF"/>
    <w:rsid w:val="00F83343"/>
    <w:rsid w:val="00FA68EE"/>
    <w:rsid w:val="00FD7777"/>
    <w:rsid w:val="00FE1E89"/>
    <w:rsid w:val="00FE4FDD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5745"/>
  <w15:chartTrackingRefBased/>
  <w15:docId w15:val="{ABB4C699-AC27-42FE-8C99-8D3A2DD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8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1443</Words>
  <Characters>7246</Characters>
  <Application>Microsoft Office Word</Application>
  <DocSecurity>0</DocSecurity>
  <Lines>172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Nikolić</dc:creator>
  <cp:keywords/>
  <dc:description/>
  <cp:lastModifiedBy>IT Victory (Client_Services)</cp:lastModifiedBy>
  <cp:revision>14</cp:revision>
  <cp:lastPrinted>2020-07-30T08:03:00Z</cp:lastPrinted>
  <dcterms:created xsi:type="dcterms:W3CDTF">2023-01-18T00:23:00Z</dcterms:created>
  <dcterms:modified xsi:type="dcterms:W3CDTF">2023-01-20T13:10:00Z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afe4249f2b21f7412e0a46525db8740d9cba94753408e001e5e89103cc951098</vt:lpwstr>
  </property>
</Properties>
</file>