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68" w:rsidRDefault="001C6D68" w:rsidP="00D466A1">
      <w:pPr>
        <w:spacing w:after="150"/>
        <w:jc w:val="center"/>
      </w:pPr>
    </w:p>
    <w:p w:rsidR="001C6D68" w:rsidRDefault="00D466A1">
      <w:pPr>
        <w:spacing w:after="150"/>
      </w:pPr>
      <w:r>
        <w:rPr>
          <w:color w:val="000000"/>
        </w:rPr>
        <w:t> </w:t>
      </w:r>
      <w:bookmarkStart w:id="0" w:name="_GoBack"/>
      <w:bookmarkEnd w:id="0"/>
    </w:p>
    <w:p w:rsidR="001C6D68" w:rsidRDefault="00D466A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71/12,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C6D68" w:rsidRDefault="00D466A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C6D68" w:rsidRDefault="00D466A1">
      <w:pPr>
        <w:spacing w:after="225"/>
        <w:jc w:val="center"/>
      </w:pPr>
      <w:r>
        <w:rPr>
          <w:b/>
          <w:color w:val="000000"/>
        </w:rPr>
        <w:t>ОДЛУКУ</w:t>
      </w:r>
    </w:p>
    <w:p w:rsidR="001C6D68" w:rsidRDefault="00D466A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оснивању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саобраћаја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транспорта</w:t>
      </w:r>
      <w:proofErr w:type="spellEnd"/>
    </w:p>
    <w:p w:rsidR="001C6D68" w:rsidRDefault="00D466A1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2018, 57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2019, 27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2020, 66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2020, 9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2021, 9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</w:t>
      </w:r>
    </w:p>
    <w:p w:rsidR="001C6D68" w:rsidRDefault="00D466A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инжењерство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моторна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летилице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дијагностификовање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кварова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поправку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сервисирање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летилице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тј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навигацију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летилицама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летилицама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собраћ</w:t>
      </w:r>
      <w:r>
        <w:rPr>
          <w:color w:val="000000"/>
        </w:rPr>
        <w:t>ајем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ваздушна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камионима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летење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навигација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навигационе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железницом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шпедиција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.).</w:t>
      </w:r>
    </w:p>
    <w:p w:rsidR="001C6D68" w:rsidRDefault="00D466A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анализир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осавременити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</w:t>
      </w:r>
      <w:r>
        <w:rPr>
          <w:color w:val="000000"/>
        </w:rPr>
        <w:t>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очекиваним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промовише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lastRenderedPageBreak/>
        <w:t xml:space="preserve">8)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бучавање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коморе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репрезентативних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удружења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1C6D68" w:rsidRDefault="00D466A1">
      <w:pPr>
        <w:spacing w:after="150"/>
      </w:pPr>
      <w:r>
        <w:rPr>
          <w:b/>
          <w:color w:val="000000"/>
        </w:rPr>
        <w:t xml:space="preserve">(1) </w:t>
      </w:r>
      <w:proofErr w:type="spellStart"/>
      <w:r>
        <w:rPr>
          <w:b/>
          <w:color w:val="000000"/>
        </w:rPr>
        <w:t>Милош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Богуновић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1C6D68" w:rsidRDefault="00D466A1">
      <w:pPr>
        <w:spacing w:after="150"/>
      </w:pPr>
      <w:r>
        <w:rPr>
          <w:b/>
          <w:color w:val="000000"/>
        </w:rPr>
        <w:t xml:space="preserve">(2) </w:t>
      </w: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Спасић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1C6D68" w:rsidRDefault="00D466A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Цвијовић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Конференцијe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Далибор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Пешић</w:t>
      </w:r>
      <w:proofErr w:type="spellEnd"/>
      <w:r>
        <w:rPr>
          <w:color w:val="000000"/>
        </w:rPr>
        <w:t xml:space="preserve"> – КОНУС;</w:t>
      </w:r>
    </w:p>
    <w:p w:rsidR="001C6D68" w:rsidRDefault="00D466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Бундало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</w:rPr>
        <w:t>абић</w:t>
      </w:r>
      <w:proofErr w:type="spellEnd"/>
      <w:r>
        <w:rPr>
          <w:color w:val="000000"/>
        </w:rPr>
        <w:t>, КАССС.</w:t>
      </w:r>
    </w:p>
    <w:p w:rsidR="001C6D68" w:rsidRDefault="00D466A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Јасмина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Шантић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Габријела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Грујић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Ђурић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b/>
          <w:color w:val="000000"/>
        </w:rPr>
        <w:t>(</w:t>
      </w: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грађевинарства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саобраћаја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инфраструктуре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Софрић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водни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саобраћај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Словић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ваздушни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саобраћај</w:t>
      </w:r>
      <w:proofErr w:type="spellEnd"/>
      <w:r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Милош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Станојевић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Десимир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Десница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**</w:t>
      </w:r>
    </w:p>
    <w:p w:rsidR="001C6D68" w:rsidRDefault="00D466A1">
      <w:pPr>
        <w:spacing w:after="150"/>
      </w:pPr>
      <w:r>
        <w:rPr>
          <w:b/>
          <w:color w:val="000000"/>
        </w:rPr>
        <w:t xml:space="preserve">(4) </w:t>
      </w:r>
      <w:proofErr w:type="spellStart"/>
      <w:r>
        <w:rPr>
          <w:b/>
          <w:color w:val="000000"/>
        </w:rPr>
        <w:t>Министасртва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омладине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спорта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Радован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Игњатовић.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C6D68" w:rsidRDefault="00D466A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Независност</w:t>
      </w:r>
      <w:proofErr w:type="spellEnd"/>
      <w:r>
        <w:rPr>
          <w:color w:val="000000"/>
        </w:rPr>
        <w:t>”:</w:t>
      </w:r>
    </w:p>
    <w:p w:rsidR="001C6D68" w:rsidRDefault="00D466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Небојша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Тасић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Синдикат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ваздухопловства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Павле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Павловић</w:t>
      </w:r>
      <w:proofErr w:type="spellEnd"/>
      <w:r>
        <w:rPr>
          <w:color w:val="000000"/>
        </w:rPr>
        <w:t>;</w:t>
      </w:r>
    </w:p>
    <w:p w:rsidR="001C6D68" w:rsidRDefault="00D466A1">
      <w:pPr>
        <w:spacing w:after="150"/>
      </w:pPr>
      <w:r>
        <w:rPr>
          <w:color w:val="000000"/>
        </w:rPr>
        <w:lastRenderedPageBreak/>
        <w:t xml:space="preserve">(3) </w:t>
      </w:r>
      <w:proofErr w:type="spellStart"/>
      <w:r>
        <w:rPr>
          <w:color w:val="000000"/>
        </w:rPr>
        <w:t>Конфедерација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синдиката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Немања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Крес</w:t>
      </w:r>
      <w:r>
        <w:rPr>
          <w:color w:val="000000"/>
        </w:rPr>
        <w:t>оја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>:</w:t>
      </w:r>
    </w:p>
    <w:p w:rsidR="001C6D68" w:rsidRDefault="00D466A1">
      <w:pPr>
        <w:spacing w:after="150"/>
      </w:pPr>
      <w:r>
        <w:rPr>
          <w:color w:val="000000"/>
        </w:rPr>
        <w:t xml:space="preserve">(1) Марија </w:t>
      </w:r>
      <w:proofErr w:type="spellStart"/>
      <w:r>
        <w:rPr>
          <w:color w:val="000000"/>
        </w:rPr>
        <w:t>Вучинић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b/>
          <w:color w:val="000000"/>
        </w:rPr>
        <w:t xml:space="preserve">8)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унапређивање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Немања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Радовић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1C6D68" w:rsidRDefault="00D466A1">
      <w:pPr>
        <w:spacing w:after="150"/>
      </w:pPr>
      <w:proofErr w:type="spellStart"/>
      <w:r>
        <w:rPr>
          <w:b/>
          <w:color w:val="000000"/>
        </w:rPr>
        <w:t>Чланови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2) и 4),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5) </w:t>
      </w:r>
      <w:proofErr w:type="spellStart"/>
      <w:r>
        <w:rPr>
          <w:b/>
          <w:color w:val="000000"/>
        </w:rPr>
        <w:t>подта</w:t>
      </w:r>
      <w:r>
        <w:rPr>
          <w:b/>
          <w:color w:val="000000"/>
        </w:rPr>
        <w:t>ч</w:t>
      </w:r>
      <w:proofErr w:type="spellEnd"/>
      <w:r>
        <w:rPr>
          <w:b/>
          <w:color w:val="000000"/>
        </w:rPr>
        <w:t xml:space="preserve">. (1), (2) и (4),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7) и 8)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учествују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одлуке.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1C6D68" w:rsidRDefault="00D466A1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3) и 6), </w:t>
      </w:r>
      <w:proofErr w:type="spellStart"/>
      <w:r>
        <w:rPr>
          <w:color w:val="000000"/>
        </w:rPr>
        <w:t>равномерно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подтачке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57/2019</w:t>
      </w:r>
    </w:p>
    <w:p w:rsidR="001C6D68" w:rsidRDefault="00D466A1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</w:t>
      </w:r>
      <w:r>
        <w:rPr>
          <w:color w:val="000000"/>
        </w:rPr>
        <w:t>ој</w:t>
      </w:r>
      <w:proofErr w:type="spellEnd"/>
      <w:r>
        <w:rPr>
          <w:color w:val="000000"/>
        </w:rPr>
        <w:t xml:space="preserve"> 27/2020</w:t>
      </w:r>
    </w:p>
    <w:p w:rsidR="001C6D68" w:rsidRDefault="00D466A1">
      <w:pPr>
        <w:spacing w:after="150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9/2022</w:t>
      </w:r>
    </w:p>
    <w:p w:rsidR="001C6D68" w:rsidRDefault="00D466A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Административно-техничку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1C6D68" w:rsidRDefault="00D466A1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C6D68" w:rsidRDefault="00D466A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02-02-12709/2018</w:t>
      </w:r>
    </w:p>
    <w:p w:rsidR="001C6D68" w:rsidRDefault="00D466A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1C6D68" w:rsidRDefault="00D466A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1C6D68" w:rsidRDefault="00D466A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1C6D68" w:rsidRDefault="00D466A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C6D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8"/>
    <w:rsid w:val="001C6D68"/>
    <w:rsid w:val="00D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666A"/>
  <w15:docId w15:val="{8365083E-7E69-4BED-A331-D179602B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2022-03-07T11:33:00Z</dcterms:created>
  <dcterms:modified xsi:type="dcterms:W3CDTF">2022-03-07T11:33:00Z</dcterms:modified>
</cp:coreProperties>
</file>