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4B" w:rsidRDefault="00DE664B">
      <w:pPr>
        <w:spacing w:after="150"/>
      </w:pPr>
      <w:bookmarkStart w:id="0" w:name="_GoBack"/>
      <w:bookmarkEnd w:id="0"/>
    </w:p>
    <w:p w:rsidR="00DE664B" w:rsidRDefault="00574975">
      <w:pPr>
        <w:spacing w:after="150"/>
      </w:pPr>
      <w:r>
        <w:rPr>
          <w:color w:val="000000"/>
        </w:rPr>
        <w:t> </w:t>
      </w:r>
    </w:p>
    <w:p w:rsidR="00DE664B" w:rsidRDefault="00574975">
      <w:pPr>
        <w:spacing w:after="150"/>
      </w:pPr>
      <w:r>
        <w:rPr>
          <w:color w:val="000000"/>
        </w:rPr>
        <w:t> </w:t>
      </w:r>
    </w:p>
    <w:p w:rsidR="00DE664B" w:rsidRDefault="0057497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71/12,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DE664B" w:rsidRDefault="00574975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E664B" w:rsidRDefault="00574975">
      <w:pPr>
        <w:spacing w:after="225"/>
        <w:jc w:val="center"/>
      </w:pPr>
      <w:r>
        <w:rPr>
          <w:b/>
          <w:color w:val="000000"/>
        </w:rPr>
        <w:t>ОДЛУКУ</w:t>
      </w:r>
    </w:p>
    <w:p w:rsidR="00DE664B" w:rsidRDefault="00574975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оснивању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прои</w:t>
      </w:r>
      <w:r>
        <w:rPr>
          <w:b/>
          <w:color w:val="000000"/>
        </w:rPr>
        <w:t>зводње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хране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шумарства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рибарства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ветерине</w:t>
      </w:r>
      <w:proofErr w:type="spellEnd"/>
    </w:p>
    <w:p w:rsidR="00DE664B" w:rsidRDefault="00574975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2018, 57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2019, 17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2020.</w:t>
      </w:r>
    </w:p>
    <w:p w:rsidR="00DE664B" w:rsidRDefault="00574975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рибарства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ветерине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узгој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фарми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непрерађених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животиња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сточарство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ратарство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воћарство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хортикул</w:t>
      </w:r>
      <w:r>
        <w:rPr>
          <w:color w:val="000000"/>
        </w:rPr>
        <w:t>туре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цвећарство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расадницима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рибарства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ветерине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процедуре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примењиване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производњи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дистрибуцији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DE664B" w:rsidRDefault="00574975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анализира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осавременити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валификација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очекиваним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иде</w:t>
      </w:r>
      <w:r>
        <w:rPr>
          <w:color w:val="000000"/>
        </w:rPr>
        <w:t>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lastRenderedPageBreak/>
        <w:t xml:space="preserve">9)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>1</w:t>
      </w:r>
      <w:r>
        <w:rPr>
          <w:color w:val="000000"/>
        </w:rPr>
        <w:t xml:space="preserve">1)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DE664B" w:rsidRDefault="00574975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Јаковљевић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Јово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Ћато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Родић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Златковић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министарстава</w:t>
      </w:r>
      <w:proofErr w:type="spellEnd"/>
      <w:r>
        <w:rPr>
          <w:color w:val="000000"/>
        </w:rPr>
        <w:t>:</w:t>
      </w:r>
    </w:p>
    <w:p w:rsidR="00DE664B" w:rsidRDefault="00574975">
      <w:pPr>
        <w:spacing w:after="150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просвете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науке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технолошког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проф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Виктор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Недовић.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E664B" w:rsidRDefault="00574975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Биљана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Зекавица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b/>
          <w:color w:val="000000"/>
        </w:rPr>
        <w:t xml:space="preserve">(3)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омладине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спорта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Мирјана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Аксентијевић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DE664B" w:rsidRDefault="00574975">
      <w:pPr>
        <w:spacing w:after="150"/>
      </w:pPr>
      <w:r>
        <w:rPr>
          <w:b/>
          <w:color w:val="000000"/>
        </w:rPr>
        <w:t xml:space="preserve">(4) </w:t>
      </w:r>
      <w:proofErr w:type="spellStart"/>
      <w:r>
        <w:rPr>
          <w:b/>
          <w:color w:val="000000"/>
        </w:rPr>
        <w:t>Мин</w:t>
      </w:r>
      <w:r>
        <w:rPr>
          <w:b/>
          <w:color w:val="000000"/>
        </w:rPr>
        <w:t>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шумарства</w:t>
      </w:r>
      <w:proofErr w:type="spellEnd"/>
      <w:r>
        <w:rPr>
          <w:b/>
          <w:color w:val="000000"/>
        </w:rPr>
        <w:t xml:space="preserve"> и </w:t>
      </w:r>
      <w:proofErr w:type="spellStart"/>
      <w:proofErr w:type="gramStart"/>
      <w:r>
        <w:rPr>
          <w:b/>
          <w:color w:val="000000"/>
        </w:rPr>
        <w:t>водопривреде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E664B" w:rsidRDefault="00574975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Мирјана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Бојчевски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политику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E664B" w:rsidRDefault="00574975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Андријашевић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Одељење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добробит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животиња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ветеринарске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Управи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ветерину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E664B" w:rsidRDefault="00574975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Владе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Ђоковић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Одсек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семе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садни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материјал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Управи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заштиту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биља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E664B" w:rsidRDefault="00574975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Љиљана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Совиљ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шуме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E664B" w:rsidRDefault="00574975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Предраг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Вукчевић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инспекције.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E664B" w:rsidRDefault="00574975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DE664B" w:rsidRDefault="00574975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Грански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прехране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угоститељства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дуванске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независност</w:t>
      </w:r>
      <w:proofErr w:type="spellEnd"/>
      <w:r>
        <w:rPr>
          <w:color w:val="000000"/>
        </w:rPr>
        <w:t>:</w:t>
      </w:r>
    </w:p>
    <w:p w:rsidR="00DE664B" w:rsidRDefault="00574975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Милојица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Живковић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Самостални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DE664B" w:rsidRDefault="00574975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Предраг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Главоњић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lastRenderedPageBreak/>
        <w:t xml:space="preserve">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DE664B" w:rsidRDefault="00574975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Зоран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Радосављевић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</w:t>
      </w:r>
      <w:r>
        <w:rPr>
          <w:color w:val="000000"/>
        </w:rPr>
        <w:t>рерада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Анкица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Ковачевић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Струковно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шумарство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дрвета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>:</w:t>
      </w:r>
    </w:p>
    <w:p w:rsidR="00DE664B" w:rsidRDefault="00574975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Радиша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Микарић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</w:t>
      </w:r>
      <w:r>
        <w:rPr>
          <w:color w:val="000000"/>
        </w:rPr>
        <w:t>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непрерађених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животиња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хортикултуре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ветерине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паковања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пића</w:t>
      </w:r>
      <w:proofErr w:type="spellEnd"/>
      <w:r>
        <w:rPr>
          <w:color w:val="000000"/>
        </w:rPr>
        <w:t>;</w:t>
      </w:r>
    </w:p>
    <w:p w:rsidR="00DE664B" w:rsidRDefault="00574975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Даница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Софренић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рибарства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1), 2), 3), 4) и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5) </w:t>
      </w:r>
      <w:proofErr w:type="spellStart"/>
      <w:r>
        <w:rPr>
          <w:b/>
          <w:color w:val="000000"/>
        </w:rPr>
        <w:t>подтач</w:t>
      </w:r>
      <w:proofErr w:type="spellEnd"/>
      <w:r>
        <w:rPr>
          <w:b/>
          <w:color w:val="000000"/>
        </w:rPr>
        <w:t>. (1),</w:t>
      </w:r>
      <w:r>
        <w:rPr>
          <w:b/>
          <w:color w:val="000000"/>
        </w:rPr>
        <w:t xml:space="preserve"> (2) и (3)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одлуке.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E664B" w:rsidRDefault="00574975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5) </w:t>
      </w:r>
      <w:proofErr w:type="spellStart"/>
      <w:r>
        <w:rPr>
          <w:b/>
          <w:color w:val="000000"/>
        </w:rPr>
        <w:t>подтачка</w:t>
      </w:r>
      <w:proofErr w:type="spellEnd"/>
      <w:r>
        <w:rPr>
          <w:b/>
          <w:color w:val="000000"/>
        </w:rPr>
        <w:t xml:space="preserve"> (4),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6), 7) и 8)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им</w:t>
      </w:r>
      <w:r>
        <w:rPr>
          <w:b/>
          <w:color w:val="000000"/>
        </w:rPr>
        <w:t>еновани.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E664B" w:rsidRDefault="00574975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57/2019</w:t>
      </w:r>
    </w:p>
    <w:p w:rsidR="00DE664B" w:rsidRDefault="00574975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17/2020</w:t>
      </w:r>
    </w:p>
    <w:p w:rsidR="00DE664B" w:rsidRDefault="00574975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Административно-техничку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DE664B" w:rsidRDefault="00574975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E664B" w:rsidRDefault="00574975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02-02-12706/2018</w:t>
      </w:r>
    </w:p>
    <w:p w:rsidR="00DE664B" w:rsidRDefault="0057497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DE664B" w:rsidRDefault="00574975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DE664B" w:rsidRDefault="00574975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DE664B" w:rsidRDefault="00574975">
      <w:pPr>
        <w:spacing w:after="150"/>
        <w:jc w:val="right"/>
      </w:pPr>
      <w:proofErr w:type="spellStart"/>
      <w:r>
        <w:rPr>
          <w:b/>
          <w:color w:val="000000"/>
        </w:rPr>
        <w:lastRenderedPageBreak/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E66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4B"/>
    <w:rsid w:val="00574975"/>
    <w:rsid w:val="00D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AFDE"/>
  <w15:docId w15:val="{4F7260FD-EBE2-432F-B52D-340E604D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2</cp:revision>
  <dcterms:created xsi:type="dcterms:W3CDTF">2022-03-07T11:12:00Z</dcterms:created>
  <dcterms:modified xsi:type="dcterms:W3CDTF">2022-03-07T11:12:00Z</dcterms:modified>
</cp:coreProperties>
</file>