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1D" w:rsidRDefault="00355F1D" w:rsidP="002A34C0">
      <w:pPr>
        <w:spacing w:after="150"/>
        <w:jc w:val="center"/>
      </w:pPr>
    </w:p>
    <w:p w:rsidR="00355F1D" w:rsidRPr="002A34C0" w:rsidRDefault="00355F1D">
      <w:pPr>
        <w:spacing w:after="150"/>
      </w:pPr>
      <w:bookmarkStart w:id="0" w:name="_GoBack"/>
      <w:bookmarkEnd w:id="0"/>
    </w:p>
    <w:p w:rsidR="00355F1D" w:rsidRDefault="002A34C0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21.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1. и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националном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27/18)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71/12,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355F1D" w:rsidRDefault="002A34C0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355F1D" w:rsidRDefault="002A34C0">
      <w:pPr>
        <w:spacing w:after="225"/>
        <w:jc w:val="center"/>
      </w:pPr>
      <w:r>
        <w:rPr>
          <w:b/>
          <w:color w:val="000000"/>
        </w:rPr>
        <w:t>ОДЛУКУ</w:t>
      </w:r>
    </w:p>
    <w:p w:rsidR="00355F1D" w:rsidRDefault="002A34C0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оснивању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информационих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ко</w:t>
      </w:r>
      <w:r>
        <w:rPr>
          <w:b/>
          <w:color w:val="000000"/>
        </w:rPr>
        <w:t>муникационих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технологија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електротехнике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аутоматике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електронике</w:t>
      </w:r>
      <w:proofErr w:type="spellEnd"/>
    </w:p>
    <w:p w:rsidR="00355F1D" w:rsidRDefault="002A34C0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104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28.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2018, 57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августа</w:t>
      </w:r>
      <w:proofErr w:type="spellEnd"/>
      <w:r>
        <w:rPr>
          <w:color w:val="000000"/>
        </w:rPr>
        <w:t xml:space="preserve"> 2019, 109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19. </w:t>
      </w:r>
      <w:proofErr w:type="spellStart"/>
      <w:r>
        <w:rPr>
          <w:color w:val="000000"/>
        </w:rPr>
        <w:t>новембра</w:t>
      </w:r>
      <w:proofErr w:type="spellEnd"/>
      <w:r>
        <w:rPr>
          <w:color w:val="000000"/>
        </w:rPr>
        <w:t xml:space="preserve"> 2021.</w:t>
      </w:r>
    </w:p>
    <w:p w:rsidR="00355F1D" w:rsidRDefault="002A34C0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Оснива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комуникационих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технологија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елект</w:t>
      </w:r>
      <w:r>
        <w:rPr>
          <w:color w:val="000000"/>
        </w:rPr>
        <w:t>ротехнике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аутоматике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електронике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дизајн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компјутерско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програмирање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мреже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софтвера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укључујући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вештачке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интелигенције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апликација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хардве</w:t>
      </w:r>
      <w:r>
        <w:rPr>
          <w:color w:val="000000"/>
        </w:rPr>
        <w:t>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дизајнирање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компјутера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комуникацију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машина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електротехнике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електронике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аутоматике</w:t>
      </w:r>
      <w:proofErr w:type="spellEnd"/>
      <w:r>
        <w:rPr>
          <w:color w:val="000000"/>
        </w:rPr>
        <w:t>.</w:t>
      </w:r>
    </w:p>
    <w:p w:rsidR="00355F1D" w:rsidRDefault="002A34C0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Задаци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>:</w:t>
      </w:r>
    </w:p>
    <w:p w:rsidR="00355F1D" w:rsidRDefault="002A34C0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анализира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постојеће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</w:t>
      </w:r>
      <w:r>
        <w:rPr>
          <w:color w:val="000000"/>
        </w:rPr>
        <w:t>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сектору</w:t>
      </w:r>
      <w:proofErr w:type="spellEnd"/>
      <w:r>
        <w:rPr>
          <w:color w:val="000000"/>
        </w:rPr>
        <w:t>;</w:t>
      </w:r>
    </w:p>
    <w:p w:rsidR="00355F1D" w:rsidRDefault="002A34C0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идентификује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осавременити</w:t>
      </w:r>
      <w:proofErr w:type="spellEnd"/>
      <w:r>
        <w:rPr>
          <w:color w:val="000000"/>
        </w:rPr>
        <w:t>;</w:t>
      </w:r>
    </w:p>
    <w:p w:rsidR="00355F1D" w:rsidRDefault="002A34C0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идентификује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355F1D" w:rsidRDefault="002A34C0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355F1D" w:rsidRDefault="002A34C0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мишљење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очекиваним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исходим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вештина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355F1D" w:rsidRDefault="002A34C0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промовише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дијалог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непосредну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>;</w:t>
      </w:r>
    </w:p>
    <w:p w:rsidR="00355F1D" w:rsidRDefault="002A34C0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промовише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обуку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355F1D" w:rsidRDefault="002A34C0">
      <w:pPr>
        <w:spacing w:after="150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идентификује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одраслих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355F1D" w:rsidRDefault="002A34C0">
      <w:pPr>
        <w:spacing w:after="150"/>
      </w:pPr>
      <w:r>
        <w:rPr>
          <w:color w:val="000000"/>
        </w:rPr>
        <w:t xml:space="preserve">9) </w:t>
      </w:r>
      <w:proofErr w:type="spellStart"/>
      <w:r>
        <w:rPr>
          <w:color w:val="000000"/>
        </w:rPr>
        <w:t>разма</w:t>
      </w:r>
      <w:r>
        <w:rPr>
          <w:color w:val="000000"/>
        </w:rPr>
        <w:t>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импликације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355F1D" w:rsidRDefault="002A34C0">
      <w:pPr>
        <w:spacing w:after="150"/>
      </w:pPr>
      <w:r>
        <w:rPr>
          <w:color w:val="000000"/>
        </w:rPr>
        <w:lastRenderedPageBreak/>
        <w:t xml:space="preserve">10) </w:t>
      </w:r>
      <w:proofErr w:type="spellStart"/>
      <w:r>
        <w:rPr>
          <w:color w:val="000000"/>
        </w:rPr>
        <w:t>предлаже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врстама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стичу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>;</w:t>
      </w:r>
    </w:p>
    <w:p w:rsidR="00355F1D" w:rsidRDefault="002A34C0">
      <w:pPr>
        <w:spacing w:after="150"/>
      </w:pPr>
      <w:r>
        <w:rPr>
          <w:color w:val="000000"/>
        </w:rPr>
        <w:t xml:space="preserve">11)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националном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</w:t>
      </w:r>
      <w:r>
        <w:rPr>
          <w:color w:val="000000"/>
        </w:rPr>
        <w:t>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355F1D" w:rsidRDefault="002A34C0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>:</w:t>
      </w:r>
    </w:p>
    <w:p w:rsidR="00355F1D" w:rsidRDefault="002A34C0">
      <w:pPr>
        <w:spacing w:after="150"/>
      </w:pPr>
      <w:r>
        <w:rPr>
          <w:b/>
          <w:color w:val="000000"/>
        </w:rPr>
        <w:t xml:space="preserve">1)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предлог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Привредне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коморе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репрезентативних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удружења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послодаваца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Милан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Шолаја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Зоран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Живковић.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355F1D" w:rsidRDefault="002A34C0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</w:t>
      </w:r>
      <w:r>
        <w:rPr>
          <w:color w:val="000000"/>
        </w:rPr>
        <w:t>драслих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Милан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Вукобрат</w:t>
      </w:r>
      <w:proofErr w:type="spellEnd"/>
      <w:r>
        <w:rPr>
          <w:color w:val="000000"/>
        </w:rPr>
        <w:t>.</w:t>
      </w:r>
    </w:p>
    <w:p w:rsidR="00355F1D" w:rsidRDefault="002A34C0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Конференцијe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универзитета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Конференцијe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академија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високих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>:</w:t>
      </w:r>
    </w:p>
    <w:p w:rsidR="00355F1D" w:rsidRDefault="002A34C0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проф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Дарко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Митић</w:t>
      </w:r>
      <w:proofErr w:type="spellEnd"/>
      <w:r>
        <w:rPr>
          <w:color w:val="000000"/>
        </w:rPr>
        <w:t xml:space="preserve"> – КОНУС;</w:t>
      </w:r>
    </w:p>
    <w:p w:rsidR="00355F1D" w:rsidRDefault="002A34C0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проф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Зајић</w:t>
      </w:r>
      <w:proofErr w:type="spellEnd"/>
      <w:r>
        <w:rPr>
          <w:color w:val="000000"/>
        </w:rPr>
        <w:t xml:space="preserve"> и </w:t>
      </w:r>
      <w:proofErr w:type="spellStart"/>
      <w:r>
        <w:rPr>
          <w:b/>
          <w:color w:val="000000"/>
        </w:rPr>
        <w:t>проф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др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Бранко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Савић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Конференција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академија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високих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школа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>, КАССС.</w:t>
      </w:r>
    </w:p>
    <w:p w:rsidR="00355F1D" w:rsidRDefault="002A34C0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Јелена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Кљајић</w:t>
      </w:r>
      <w:proofErr w:type="spellEnd"/>
      <w:r>
        <w:rPr>
          <w:color w:val="000000"/>
        </w:rPr>
        <w:t>.</w:t>
      </w:r>
    </w:p>
    <w:p w:rsidR="00355F1D" w:rsidRDefault="002A34C0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министарстава</w:t>
      </w:r>
      <w:proofErr w:type="spellEnd"/>
      <w:r>
        <w:rPr>
          <w:color w:val="000000"/>
        </w:rPr>
        <w:t>:</w:t>
      </w:r>
    </w:p>
    <w:p w:rsidR="00355F1D" w:rsidRDefault="002A34C0">
      <w:pPr>
        <w:spacing w:after="150"/>
      </w:pPr>
      <w:r>
        <w:rPr>
          <w:b/>
          <w:color w:val="000000"/>
        </w:rPr>
        <w:t xml:space="preserve">(1) </w:t>
      </w:r>
      <w:proofErr w:type="spellStart"/>
      <w:r>
        <w:rPr>
          <w:b/>
          <w:color w:val="000000"/>
        </w:rPr>
        <w:t>Министарства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просвете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науке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технолошког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развоја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др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Саша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Стојановић.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355F1D" w:rsidRDefault="002A34C0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запошљавања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борачка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социјална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Жељка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Цвијановић</w:t>
      </w:r>
      <w:proofErr w:type="spellEnd"/>
      <w:r>
        <w:rPr>
          <w:color w:val="000000"/>
        </w:rPr>
        <w:t>.</w:t>
      </w:r>
    </w:p>
    <w:p w:rsidR="00355F1D" w:rsidRDefault="002A34C0">
      <w:pPr>
        <w:spacing w:after="150"/>
      </w:pPr>
      <w:r>
        <w:rPr>
          <w:color w:val="000000"/>
        </w:rPr>
        <w:t xml:space="preserve">(3) </w:t>
      </w:r>
      <w:proofErr w:type="spellStart"/>
      <w:r>
        <w:rPr>
          <w:color w:val="000000"/>
        </w:rPr>
        <w:t>Мини</w:t>
      </w:r>
      <w:r>
        <w:rPr>
          <w:color w:val="000000"/>
        </w:rPr>
        <w:t>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телекомуникација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Милан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Добријевић</w:t>
      </w:r>
      <w:proofErr w:type="spellEnd"/>
      <w:r>
        <w:rPr>
          <w:color w:val="000000"/>
        </w:rPr>
        <w:t>.</w:t>
      </w:r>
    </w:p>
    <w:p w:rsidR="00355F1D" w:rsidRDefault="002A34C0">
      <w:pPr>
        <w:spacing w:after="150"/>
      </w:pPr>
      <w:r>
        <w:rPr>
          <w:b/>
          <w:color w:val="000000"/>
        </w:rPr>
        <w:t xml:space="preserve">(4) </w:t>
      </w:r>
      <w:proofErr w:type="spellStart"/>
      <w:r>
        <w:rPr>
          <w:b/>
          <w:color w:val="000000"/>
        </w:rPr>
        <w:t>Министарства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омладине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спорта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Дарко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Удовичић.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355F1D" w:rsidRDefault="002A34C0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репрезентативних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синдиката</w:t>
      </w:r>
      <w:proofErr w:type="spellEnd"/>
      <w:r>
        <w:rPr>
          <w:color w:val="000000"/>
        </w:rPr>
        <w:t>:</w:t>
      </w:r>
    </w:p>
    <w:p w:rsidR="00355F1D" w:rsidRDefault="002A34C0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Конфедерација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слободних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синдиката</w:t>
      </w:r>
      <w:proofErr w:type="spellEnd"/>
      <w:r>
        <w:rPr>
          <w:color w:val="000000"/>
        </w:rPr>
        <w:t>:</w:t>
      </w:r>
    </w:p>
    <w:p w:rsidR="00355F1D" w:rsidRDefault="002A34C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Драган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Лукић</w:t>
      </w:r>
      <w:proofErr w:type="spellEnd"/>
    </w:p>
    <w:p w:rsidR="00355F1D" w:rsidRDefault="002A34C0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>:</w:t>
      </w:r>
    </w:p>
    <w:p w:rsidR="00355F1D" w:rsidRDefault="002A34C0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Небојша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Соколовић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Заједница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електротехничких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355F1D" w:rsidRDefault="002A34C0">
      <w:pPr>
        <w:spacing w:after="150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Маја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Тодоровић</w:t>
      </w:r>
      <w:proofErr w:type="spellEnd"/>
      <w:r>
        <w:rPr>
          <w:color w:val="000000"/>
        </w:rPr>
        <w:t>.</w:t>
      </w:r>
    </w:p>
    <w:p w:rsidR="00355F1D" w:rsidRDefault="002A34C0">
      <w:pPr>
        <w:spacing w:after="150"/>
      </w:pPr>
      <w:proofErr w:type="spellStart"/>
      <w:r>
        <w:rPr>
          <w:b/>
          <w:color w:val="000000"/>
        </w:rPr>
        <w:t>Чланови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става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тач</w:t>
      </w:r>
      <w:proofErr w:type="spellEnd"/>
      <w:r>
        <w:rPr>
          <w:b/>
          <w:color w:val="000000"/>
        </w:rPr>
        <w:t xml:space="preserve">. 2), 4), 5), 6), 7) и 8) </w:t>
      </w:r>
      <w:proofErr w:type="spellStart"/>
      <w:r>
        <w:rPr>
          <w:b/>
          <w:color w:val="000000"/>
        </w:rPr>
        <w:t>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тачке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учествују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раду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</w:t>
      </w:r>
      <w:r>
        <w:rPr>
          <w:b/>
          <w:color w:val="000000"/>
        </w:rPr>
        <w:t>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свим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областима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тачке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ове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одлуке.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355F1D" w:rsidRDefault="002A34C0">
      <w:pPr>
        <w:spacing w:after="150"/>
      </w:pPr>
      <w:proofErr w:type="spellStart"/>
      <w:r>
        <w:rPr>
          <w:b/>
          <w:color w:val="000000"/>
        </w:rPr>
        <w:t>Чланови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става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тач</w:t>
      </w:r>
      <w:proofErr w:type="spellEnd"/>
      <w:r>
        <w:rPr>
          <w:b/>
          <w:color w:val="000000"/>
        </w:rPr>
        <w:t xml:space="preserve">. 1) и 3) </w:t>
      </w:r>
      <w:proofErr w:type="spellStart"/>
      <w:r>
        <w:rPr>
          <w:b/>
          <w:color w:val="000000"/>
        </w:rPr>
        <w:t>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тачке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равномерно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ротирају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раду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lastRenderedPageBreak/>
        <w:t>по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редоследу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утврђује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пословником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ра</w:t>
      </w:r>
      <w:r>
        <w:rPr>
          <w:b/>
          <w:color w:val="000000"/>
        </w:rPr>
        <w:t>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већа.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355F1D" w:rsidRDefault="002A34C0">
      <w:pPr>
        <w:spacing w:after="150"/>
      </w:pPr>
      <w:proofErr w:type="spellStart"/>
      <w:r>
        <w:rPr>
          <w:i/>
          <w:color w:val="000000"/>
        </w:rPr>
        <w:t>Брисан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ранији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став</w:t>
      </w:r>
      <w:proofErr w:type="spellEnd"/>
      <w:r>
        <w:rPr>
          <w:i/>
          <w:color w:val="000000"/>
        </w:rPr>
        <w:t xml:space="preserve"> 4. (</w:t>
      </w:r>
      <w:proofErr w:type="spellStart"/>
      <w:r>
        <w:rPr>
          <w:i/>
          <w:color w:val="000000"/>
        </w:rPr>
        <w:t>види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тачку</w:t>
      </w:r>
      <w:proofErr w:type="spellEnd"/>
      <w:r>
        <w:rPr>
          <w:i/>
          <w:color w:val="000000"/>
        </w:rPr>
        <w:t xml:space="preserve"> 1. </w:t>
      </w:r>
      <w:proofErr w:type="spellStart"/>
      <w:r>
        <w:rPr>
          <w:i/>
          <w:color w:val="000000"/>
        </w:rPr>
        <w:t>Одлуке</w:t>
      </w:r>
      <w:proofErr w:type="spellEnd"/>
      <w:r>
        <w:rPr>
          <w:i/>
          <w:color w:val="000000"/>
        </w:rPr>
        <w:t xml:space="preserve"> – 57/2019-144).</w:t>
      </w:r>
    </w:p>
    <w:p w:rsidR="00355F1D" w:rsidRDefault="002A34C0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57/2019</w:t>
      </w:r>
    </w:p>
    <w:p w:rsidR="00355F1D" w:rsidRDefault="002A34C0">
      <w:pPr>
        <w:spacing w:after="150"/>
      </w:pPr>
      <w:r>
        <w:rPr>
          <w:color w:val="000000"/>
        </w:rPr>
        <w:t>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109/2021</w:t>
      </w:r>
    </w:p>
    <w:p w:rsidR="00355F1D" w:rsidRDefault="002A34C0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</w:t>
      </w:r>
      <w:r>
        <w:rPr>
          <w:color w:val="000000"/>
        </w:rPr>
        <w:t>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>.</w:t>
      </w:r>
    </w:p>
    <w:p w:rsidR="00355F1D" w:rsidRDefault="002A34C0">
      <w:pPr>
        <w:spacing w:after="150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>.</w:t>
      </w:r>
    </w:p>
    <w:p w:rsidR="00355F1D" w:rsidRDefault="002A34C0">
      <w:pPr>
        <w:spacing w:after="150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Годишњи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ма</w:t>
      </w:r>
      <w:r>
        <w:rPr>
          <w:color w:val="000000"/>
        </w:rPr>
        <w:t>рта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календарску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>.</w:t>
      </w:r>
    </w:p>
    <w:p w:rsidR="00355F1D" w:rsidRDefault="002A34C0">
      <w:pPr>
        <w:spacing w:after="150"/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Административно-техничку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>.</w:t>
      </w:r>
    </w:p>
    <w:p w:rsidR="00355F1D" w:rsidRDefault="002A34C0">
      <w:pPr>
        <w:spacing w:after="150"/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висини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>.</w:t>
      </w:r>
    </w:p>
    <w:p w:rsidR="00355F1D" w:rsidRDefault="002A34C0">
      <w:pPr>
        <w:spacing w:after="150"/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</w:t>
      </w:r>
      <w:r>
        <w:rPr>
          <w:color w:val="000000"/>
        </w:rPr>
        <w:t>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355F1D" w:rsidRDefault="002A34C0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02-02-12714/2018</w:t>
      </w:r>
    </w:p>
    <w:p w:rsidR="00355F1D" w:rsidRDefault="002A34C0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27.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2018. </w:t>
      </w:r>
      <w:proofErr w:type="spellStart"/>
      <w:r>
        <w:rPr>
          <w:color w:val="000000"/>
        </w:rPr>
        <w:t>године</w:t>
      </w:r>
      <w:proofErr w:type="spellEnd"/>
    </w:p>
    <w:p w:rsidR="00355F1D" w:rsidRDefault="002A34C0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355F1D" w:rsidRDefault="002A34C0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355F1D" w:rsidRDefault="002A34C0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355F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1D"/>
    <w:rsid w:val="002A34C0"/>
    <w:rsid w:val="0035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FC56"/>
  <w15:docId w15:val="{9AC6F15C-2094-4248-BBFD-F44081E1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</dc:creator>
  <cp:lastModifiedBy>Марија</cp:lastModifiedBy>
  <cp:revision>2</cp:revision>
  <dcterms:created xsi:type="dcterms:W3CDTF">2022-03-07T10:21:00Z</dcterms:created>
  <dcterms:modified xsi:type="dcterms:W3CDTF">2022-03-07T10:21:00Z</dcterms:modified>
</cp:coreProperties>
</file>